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网络安全等级保护测评及整改服务</w:t>
      </w:r>
    </w:p>
    <w:p>
      <w:pPr>
        <w:pStyle w:val="null3"/>
        <w:jc w:val="center"/>
        <w:outlineLvl w:val="2"/>
      </w:pPr>
      <w:r>
        <w:rPr>
          <w:b/>
          <w:sz w:val="28"/>
        </w:rPr>
        <w:t>备案编号：</w:t>
      </w:r>
      <w:r>
        <w:rPr>
          <w:b/>
          <w:sz w:val="28"/>
        </w:rPr>
        <w:t>CGXM-2023-350001-21880[2023]16077</w:t>
      </w:r>
    </w:p>
    <w:p>
      <w:pPr>
        <w:pStyle w:val="null3"/>
        <w:jc w:val="center"/>
        <w:outlineLvl w:val="2"/>
      </w:pPr>
      <w:r>
        <w:rPr>
          <w:b/>
          <w:sz w:val="28"/>
        </w:rPr>
        <w:t>项目编号：</w:t>
      </w:r>
      <w:r>
        <w:rPr>
          <w:b/>
          <w:sz w:val="28"/>
        </w:rPr>
        <w:t>[350001]HHPM[CS]2023010</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汇宏项目管理有限公司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福建省民政厅（本级）</w:t>
      </w:r>
      <w:r>
        <w:rPr/>
        <w:t xml:space="preserve"> 已根据政府采购相关法律法规，经相应程序确定采用 竞争性磋商 方式组织 </w:t>
      </w:r>
      <w:r>
        <w:rPr/>
        <w:t>网络安全等级保护测评及整改服务</w:t>
      </w:r>
      <w:r>
        <w:rPr/>
        <w:t xml:space="preserve"> 项目（以下简称：“本项目”）的政府采购活动， </w:t>
      </w:r>
      <w:r>
        <w:rPr/>
        <w:t>现欢迎国内合格的供应商前来参加。</w:t>
      </w:r>
      <w:r>
        <w:rPr/>
        <w:t xml:space="preserve"> 本项目由采购人委托 </w:t>
      </w:r>
      <w:r>
        <w:rPr/>
        <w:t>汇宏项目管理有限公司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网络安全等级保护测评及整改服务</w:t>
      </w:r>
    </w:p>
    <w:p>
      <w:pPr>
        <w:pStyle w:val="null3"/>
        <w:ind w:firstLine="480"/>
        <w:jc w:val="left"/>
        <w:outlineLvl w:val="2"/>
      </w:pPr>
      <w:r>
        <w:rPr>
          <w:b/>
          <w:sz w:val="28"/>
        </w:rPr>
        <w:t>2.备案编号</w:t>
      </w:r>
      <w:r>
        <w:rPr>
          <w:b/>
          <w:sz w:val="28"/>
        </w:rPr>
        <w:t xml:space="preserve">： </w:t>
      </w:r>
      <w:r>
        <w:rPr>
          <w:b/>
          <w:sz w:val="28"/>
        </w:rPr>
        <w:t>CGXM-2023-350001-21880[2023]16077</w:t>
      </w:r>
    </w:p>
    <w:p>
      <w:pPr>
        <w:pStyle w:val="null3"/>
        <w:ind w:firstLine="480"/>
        <w:jc w:val="left"/>
        <w:outlineLvl w:val="2"/>
      </w:pPr>
      <w:r>
        <w:rPr>
          <w:b/>
          <w:sz w:val="28"/>
        </w:rPr>
        <w:t>3.项目编号</w:t>
      </w:r>
      <w:r>
        <w:rPr>
          <w:b/>
          <w:sz w:val="28"/>
        </w:rPr>
        <w:t xml:space="preserve">： </w:t>
      </w:r>
      <w:r>
        <w:rPr>
          <w:b/>
          <w:sz w:val="28"/>
        </w:rPr>
        <w:t>[350001]HHPM[CS]2023010</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480,000.00</w:t>
      </w:r>
    </w:p>
    <w:p>
      <w:pPr>
        <w:pStyle w:val="null3"/>
        <w:jc w:val="left"/>
      </w:pPr>
      <w:r>
        <w:rPr/>
        <w:t>采购包最高限价（元）: 480,000.00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网络安全等级保护测评及整改服务</w:t>
            </w:r>
          </w:p>
        </w:tc>
        <w:tc>
          <w:tcPr>
            <w:tcW w:type="dxa" w:w="1187"/>
          </w:tcPr>
          <w:p>
            <w:pPr>
              <w:pStyle w:val="null3"/>
              <w:jc w:val="right"/>
            </w:pPr>
            <w:r>
              <w:rPr/>
              <w:t>1.00</w:t>
            </w:r>
          </w:p>
        </w:tc>
        <w:tc>
          <w:tcPr>
            <w:tcW w:type="dxa" w:w="1187"/>
          </w:tcPr>
          <w:p>
            <w:pPr>
              <w:pStyle w:val="null3"/>
              <w:jc w:val="right"/>
            </w:pPr>
            <w:r>
              <w:rPr/>
              <w:t>480,000.00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特定资格</w:t>
            </w:r>
          </w:p>
        </w:tc>
        <w:tc>
          <w:tcPr>
            <w:tcW w:type="dxa" w:w="4614"/>
          </w:tcPr>
          <w:p>
            <w:pPr>
              <w:pStyle w:val="null3"/>
              <w:jc w:val="left"/>
            </w:pPr>
            <w:r>
              <w:rPr/>
              <w:t>供应商具有公安部第三研究所颁发的《网络安全等级测评与检测评估机构服务认证证书》。</w:t>
            </w:r>
          </w:p>
        </w:tc>
      </w:tr>
      <w:tr>
        <w:tc>
          <w:tcPr>
            <w:tcW w:type="dxa" w:w="3692"/>
          </w:tcPr>
          <w:p>
            <w:pPr>
              <w:pStyle w:val="null3"/>
              <w:jc w:val="left"/>
            </w:pPr>
            <w:r>
              <w:rPr/>
              <w:t>关于【供应商的资格要求中“4财务状况报告”】补充说明</w:t>
            </w:r>
          </w:p>
        </w:tc>
        <w:tc>
          <w:tcPr>
            <w:tcW w:type="dxa" w:w="4614"/>
          </w:tcPr>
          <w:p>
            <w:pPr>
              <w:pStyle w:val="null3"/>
              <w:jc w:val="left"/>
            </w:pPr>
            <w:r>
              <w:rPr/>
              <w:t>供应商提供的财务报告复印件：关于“上一年度”描述修改为“2022年度或2023年度”。本竞争性磋商文件中若有与此处不一致的，以此处补充说明为准。</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1、供应商提供的服务应符合《政府采购促进中小企业发展管理办法》(财库〔2020〕46号) 第四条规定的情形，且应当提供《政府采购促进中小企业发展管理办法》(财库〔2020〕46号)规定的《中小企业声明函》，格式见第五章《首次响应文件格式》附件。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3、供应商为残疾人福利性单位的视同小型和微型企业，可不提供以上第1点材料，但应当提供《残疾人福利性单位声明函》，格式见第五章《首次响应文件格式》附件。 4、采购标的对应的中小企业划分标准所属行业为软件和信息技术服务业。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福建省民政厅（本级）</w:t>
      </w:r>
    </w:p>
    <w:p>
      <w:pPr>
        <w:pStyle w:val="null3"/>
        <w:ind w:firstLine="960"/>
        <w:jc w:val="left"/>
      </w:pPr>
      <w:r>
        <w:rPr/>
        <w:t xml:space="preserve"> 地址： </w:t>
      </w:r>
      <w:r>
        <w:rPr/>
        <w:t>鼓东路44号</w:t>
      </w:r>
    </w:p>
    <w:p>
      <w:pPr>
        <w:pStyle w:val="null3"/>
        <w:jc w:val="left"/>
      </w:pPr>
      <w:r>
        <w:rPr/>
        <w:t xml:space="preserve"> 邮编： </w:t>
      </w:r>
      <w:r>
        <w:rPr/>
        <w:t>350000</w:t>
      </w:r>
    </w:p>
    <w:p>
      <w:pPr>
        <w:pStyle w:val="null3"/>
        <w:jc w:val="left"/>
      </w:pPr>
      <w:r>
        <w:rPr/>
        <w:t xml:space="preserve"> 联系人： </w:t>
      </w:r>
      <w:r>
        <w:rPr/>
        <w:t>林静</w:t>
      </w:r>
    </w:p>
    <w:p>
      <w:pPr>
        <w:pStyle w:val="null3"/>
        <w:jc w:val="left"/>
      </w:pPr>
      <w:r>
        <w:rPr/>
        <w:t xml:space="preserve"> 联系电话： </w:t>
      </w:r>
      <w:r>
        <w:rPr/>
        <w:t>83569291</w:t>
      </w:r>
    </w:p>
    <w:p>
      <w:pPr>
        <w:pStyle w:val="null3"/>
        <w:ind w:firstLine="480"/>
        <w:jc w:val="left"/>
        <w:outlineLvl w:val="2"/>
      </w:pPr>
      <w:r>
        <w:rPr>
          <w:b/>
          <w:sz w:val="28"/>
        </w:rPr>
        <w:t>14、代理机构</w:t>
      </w:r>
      <w:r>
        <w:rPr>
          <w:b/>
          <w:sz w:val="28"/>
        </w:rPr>
        <w:t>：</w:t>
      </w:r>
      <w:r>
        <w:rPr>
          <w:b/>
          <w:sz w:val="28"/>
        </w:rPr>
        <w:t>汇宏项目管理有限公司</w:t>
      </w:r>
    </w:p>
    <w:p>
      <w:pPr>
        <w:pStyle w:val="null3"/>
        <w:ind w:firstLine="960"/>
        <w:jc w:val="left"/>
      </w:pPr>
      <w:r>
        <w:rPr/>
        <w:t xml:space="preserve"> 地址： </w:t>
      </w:r>
      <w:r>
        <w:rPr/>
        <w:t>西洪路149号-66</w:t>
      </w:r>
    </w:p>
    <w:p>
      <w:pPr>
        <w:pStyle w:val="null3"/>
        <w:jc w:val="left"/>
      </w:pPr>
      <w:r>
        <w:rPr/>
        <w:t xml:space="preserve"> 邮编： </w:t>
      </w:r>
      <w:r>
        <w:rPr/>
        <w:t>350025</w:t>
      </w:r>
    </w:p>
    <w:p>
      <w:pPr>
        <w:pStyle w:val="null3"/>
        <w:jc w:val="left"/>
      </w:pPr>
      <w:r>
        <w:rPr/>
        <w:t xml:space="preserve"> 联系人： </w:t>
      </w:r>
      <w:r>
        <w:rPr/>
        <w:t>蒋炜灵、陈郑晰</w:t>
      </w:r>
    </w:p>
    <w:p>
      <w:pPr>
        <w:pStyle w:val="null3"/>
        <w:jc w:val="left"/>
      </w:pPr>
      <w:r>
        <w:rPr/>
        <w:t xml:space="preserve"> 联系电话： </w:t>
      </w:r>
      <w:r>
        <w:rPr/>
        <w:t>0591-83053110</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汇宏项目管理有限公司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特定资格</w:t>
                  </w:r>
                </w:p>
              </w:tc>
              <w:tc>
                <w:tcPr>
                  <w:tcW w:type="dxa" w:w="1418"/>
                </w:tcPr>
                <w:p>
                  <w:pPr>
                    <w:pStyle w:val="null3"/>
                    <w:jc w:val="left"/>
                  </w:pPr>
                  <w:r>
                    <w:rPr/>
                    <w:t>供应商具有公安部第三研究所颁发的《网络安全等级测评与检测评估机构服务认证证书》。</w:t>
                  </w:r>
                </w:p>
              </w:tc>
            </w:tr>
            <w:tr>
              <w:tc>
                <w:tcPr>
                  <w:tcW w:type="dxa" w:w="1135"/>
                </w:tcPr>
                <w:p>
                  <w:pPr>
                    <w:pStyle w:val="null3"/>
                    <w:jc w:val="left"/>
                  </w:pPr>
                  <w:r>
                    <w:rPr/>
                    <w:t>关于【供应商的资格要求中“4财务状况报告”】补充说明</w:t>
                  </w:r>
                </w:p>
              </w:tc>
              <w:tc>
                <w:tcPr>
                  <w:tcW w:type="dxa" w:w="1418"/>
                </w:tcPr>
                <w:p>
                  <w:pPr>
                    <w:pStyle w:val="null3"/>
                    <w:jc w:val="left"/>
                  </w:pPr>
                  <w:r>
                    <w:rPr/>
                    <w:t>供应商提供的财务报告复印件：关于“上一年度”描述修改为“2022年度或2023年度”。本竞争性磋商文件中若有与此处不一致的，以此处补充说明为准。</w:t>
                  </w:r>
                </w:p>
              </w:tc>
            </w:tr>
            <w:tr>
              <w:tc>
                <w:tcPr>
                  <w:tcW w:type="dxa" w:w="1135"/>
                </w:tcPr>
                <w:p>
                  <w:pPr>
                    <w:pStyle w:val="null3"/>
                    <w:jc w:val="left"/>
                  </w:pPr>
                  <w:r>
                    <w:rPr/>
                    <w:t>落实政府采购政策的证明材料（专门面向中小企业采购）</w:t>
                  </w:r>
                </w:p>
              </w:tc>
              <w:tc>
                <w:tcPr>
                  <w:tcW w:type="dxa" w:w="1418"/>
                </w:tcPr>
                <w:p>
                  <w:pPr>
                    <w:pStyle w:val="null3"/>
                    <w:jc w:val="left"/>
                  </w:pPr>
                  <w:r>
                    <w:rPr/>
                    <w:t>1、供应商提供的服务应符合《政府采购促进中小企业发展管理办法》(财库〔2020〕46号) 第四条规定的情形，且应当提供《政府采购促进中小企业发展管理办法》(财库〔2020〕46号)规定的《中小企业声明函》，格式见第五章《首次响应文件格式》附件。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3、供应商为残疾人福利性单位的视同小型和微型企业，可不提供以上第1点材料，但应当提供《残疾人福利性单位声明函》，格式见第五章《首次响应文件格式》附件。 4、采购标的对应的中小企业划分标准所属行业为软件和信息技术服务业。</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1</w:t>
            </w:r>
            <w:r>
              <w:rPr/>
              <w:t xml:space="preserve"> 份、副本 </w:t>
            </w:r>
            <w:r>
              <w:rPr/>
              <w:t>1</w:t>
            </w:r>
            <w:r>
              <w:rPr/>
              <w:t xml:space="preserve"> 份。</w:t>
            </w:r>
          </w:p>
          <w:p>
            <w:pPr>
              <w:pStyle w:val="null3"/>
              <w:jc w:val="left"/>
            </w:pPr>
            <w:r>
              <w:rPr/>
              <w:t xml:space="preserve"> ②可读介质（光盘或U盘） </w:t>
            </w:r>
            <w:r>
              <w:rPr/>
              <w:t>1</w:t>
            </w:r>
            <w:r>
              <w:rPr/>
              <w:t xml:space="preserve"> 份：将上传至福建省政府采购网上公开信息系统的电子响应文件在可读介质中另存 </w:t>
            </w:r>
            <w:r>
              <w:rPr/>
              <w:t>1</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第三章采购内容及要求</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代理服务费收费标准：合同包招标代理服务费：按照成交金额，以差额定率累进法计算，具体按以下标准收取：（0元，100万元] ：1.5%。 成交人应在领取成交通知书前应先以转账或电汇付款方式一次性向招标代理机构缴纳招标代理服务费。代理服务费账户：开户名：汇宏项目管理有限公司，开户行：中信银行股份有限公司福州六一支行，账 号：7345 1101 8260 0053 018。</w:t>
            </w:r>
          </w:p>
          <w:p>
            <w:pPr>
              <w:pStyle w:val="null3"/>
              <w:jc w:val="left"/>
            </w:pPr>
            <w:r>
              <w:rPr/>
              <w:t xml:space="preserve"> (2)其他：</w:t>
            </w:r>
          </w:p>
          <w:p>
            <w:pPr>
              <w:pStyle w:val="null3"/>
              <w:jc w:val="left"/>
            </w:pPr>
            <w:r>
              <w:rPr/>
              <w:t>无</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自成交通知书发出之日起30个日历日内。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满分为15.00分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技术性能和功能</w:t>
            </w:r>
          </w:p>
        </w:tc>
        <w:tc>
          <w:tcPr>
            <w:tcW w:type="dxa" w:w="831"/>
          </w:tcPr>
          <w:p>
            <w:pPr>
              <w:pStyle w:val="null3"/>
              <w:jc w:val="right"/>
            </w:pPr>
            <w:r>
              <w:rPr/>
              <w:t>33.00</w:t>
            </w:r>
          </w:p>
        </w:tc>
        <w:tc>
          <w:tcPr>
            <w:tcW w:type="dxa" w:w="4153"/>
          </w:tcPr>
          <w:p>
            <w:pPr>
              <w:pStyle w:val="null3"/>
              <w:jc w:val="left"/>
            </w:pPr>
            <w:r>
              <w:rPr/>
              <w:t>根据供应商对磋商文件第三章采购内容及要求第二点“技术要求”的响应情况进行打分：以每一序号项为一项计分条款，完全满足磋商文件要求的得33分；带“★”号的序号项为实质性条款（共3项），有负偏离的为响应无效；带有标注“▲”符号的每负偏离一项扣1.5 分（共计12项），其他技术参数每负偏离一项扣1分（共计15项），正偏离不加分。</w:t>
            </w:r>
          </w:p>
        </w:tc>
      </w:tr>
      <w:tr>
        <w:tc>
          <w:tcPr>
            <w:tcW w:type="dxa" w:w="3322"/>
          </w:tcPr>
          <w:p>
            <w:pPr>
              <w:pStyle w:val="null3"/>
              <w:jc w:val="left"/>
            </w:pPr>
            <w:r>
              <w:rPr/>
              <w:t>安全测评方案</w:t>
            </w:r>
          </w:p>
        </w:tc>
        <w:tc>
          <w:tcPr>
            <w:tcW w:type="dxa" w:w="831"/>
          </w:tcPr>
          <w:p>
            <w:pPr>
              <w:pStyle w:val="null3"/>
              <w:jc w:val="right"/>
            </w:pPr>
            <w:r>
              <w:rPr/>
              <w:t>2.00</w:t>
            </w:r>
          </w:p>
        </w:tc>
        <w:tc>
          <w:tcPr>
            <w:tcW w:type="dxa" w:w="4153"/>
          </w:tcPr>
          <w:p>
            <w:pPr>
              <w:pStyle w:val="null3"/>
              <w:jc w:val="left"/>
            </w:pPr>
            <w:r>
              <w:rPr/>
              <w:t>根据供应商对本项目提供的安全测评方案具体措施、安排等方面是否科学、合理，能否保障项目按时通过竣工验收等方面，由磋商小组进行评分：方案详实、切合实际的得2分；方案部分详实或部分内容切合实际的得1.5分；方案阐述简短的得1分；其余情况不得分。未提供或内容存在明显错误、内容明显不适用于本项目需求的均不得分。</w:t>
            </w:r>
          </w:p>
        </w:tc>
      </w:tr>
      <w:tr>
        <w:tc>
          <w:tcPr>
            <w:tcW w:type="dxa" w:w="3322"/>
          </w:tcPr>
          <w:p>
            <w:pPr>
              <w:pStyle w:val="null3"/>
              <w:jc w:val="left"/>
            </w:pPr>
            <w:r>
              <w:rPr/>
              <w:t>诱捕场景应用</w:t>
            </w:r>
          </w:p>
        </w:tc>
        <w:tc>
          <w:tcPr>
            <w:tcW w:type="dxa" w:w="831"/>
          </w:tcPr>
          <w:p>
            <w:pPr>
              <w:pStyle w:val="null3"/>
              <w:jc w:val="right"/>
            </w:pPr>
            <w:r>
              <w:rPr/>
              <w:t>3.00</w:t>
            </w:r>
          </w:p>
        </w:tc>
        <w:tc>
          <w:tcPr>
            <w:tcW w:type="dxa" w:w="4153"/>
          </w:tcPr>
          <w:p>
            <w:pPr>
              <w:pStyle w:val="null3"/>
              <w:jc w:val="left"/>
            </w:pPr>
            <w:r>
              <w:rPr/>
              <w:t>供应商可扩展提供蜜罐设备并提供蜜罐的甜度管控功能。①支持蜜罐高甜度仿真，构建贴合受保护网络特性的诱捕场景和应用，以此将蜜罐仿真成内网某网站场景、办公场景、研发内网场景等，达到吸引入侵者深入蜜罐的目的；②支持通过操作界面替换现运行场景中的蜜罐主机；支持通过界面一键完成整个数据库状态的重置；③支持入侵设备端口连接记录展示，包括记录时间、协议、监听IP、监听端口、默认路由、状态、进程ID、进程名称；以上3项内容每满足一项得1分，满分3分。（需提供满足以上功能描述的产品相关证明并加盖公章。）</w:t>
            </w:r>
          </w:p>
        </w:tc>
      </w:tr>
      <w:tr>
        <w:tc>
          <w:tcPr>
            <w:tcW w:type="dxa" w:w="3322"/>
          </w:tcPr>
          <w:p>
            <w:pPr>
              <w:pStyle w:val="null3"/>
              <w:jc w:val="left"/>
            </w:pPr>
            <w:r>
              <w:rPr/>
              <w:t>IP画像分析功能</w:t>
            </w:r>
          </w:p>
        </w:tc>
        <w:tc>
          <w:tcPr>
            <w:tcW w:type="dxa" w:w="831"/>
          </w:tcPr>
          <w:p>
            <w:pPr>
              <w:pStyle w:val="null3"/>
              <w:jc w:val="right"/>
            </w:pPr>
            <w:r>
              <w:rPr/>
              <w:t>3.00</w:t>
            </w:r>
          </w:p>
        </w:tc>
        <w:tc>
          <w:tcPr>
            <w:tcW w:type="dxa" w:w="4153"/>
          </w:tcPr>
          <w:p>
            <w:pPr>
              <w:pStyle w:val="null3"/>
              <w:jc w:val="left"/>
            </w:pPr>
            <w:r>
              <w:rPr/>
              <w:t>供应商可扩展提供威胁IP画像分析功能，支持通过对威胁IP基础信息、虚拟身份账号、剪贴板文本/文件数据、端口连接记录、屏幕截屏、人物拍照、威胁行为统计、威胁时间线分析和威胁详情分析等多个方向，构建出“时间线+行为链+结果指向”的威胁立体画像，为溯源取证提供数据分析依据。可扩展支持威胁IP画像分析功能的得3分。（需提供满足以上功能描述的产品相关证明并加盖公章。）</w:t>
            </w:r>
          </w:p>
        </w:tc>
      </w:tr>
      <w:tr>
        <w:tc>
          <w:tcPr>
            <w:tcW w:type="dxa" w:w="3322"/>
          </w:tcPr>
          <w:p>
            <w:pPr>
              <w:pStyle w:val="null3"/>
              <w:jc w:val="left"/>
            </w:pPr>
            <w:r>
              <w:rPr/>
              <w:t>威胁溯源功能</w:t>
            </w:r>
          </w:p>
        </w:tc>
        <w:tc>
          <w:tcPr>
            <w:tcW w:type="dxa" w:w="831"/>
          </w:tcPr>
          <w:p>
            <w:pPr>
              <w:pStyle w:val="null3"/>
              <w:jc w:val="right"/>
            </w:pPr>
            <w:r>
              <w:rPr/>
              <w:t>3.00</w:t>
            </w:r>
          </w:p>
        </w:tc>
        <w:tc>
          <w:tcPr>
            <w:tcW w:type="dxa" w:w="4153"/>
          </w:tcPr>
          <w:p>
            <w:pPr>
              <w:pStyle w:val="null3"/>
              <w:jc w:val="left"/>
            </w:pPr>
            <w:r>
              <w:rPr/>
              <w:t>供应商可扩展提供威胁溯源功能，内置检测规则≥2万条，内置威胁情报≥65万条，在此基础上：①支持通过标签聚合对于罐内罐外威胁数据进一步过滤分析，将能够支撑溯源的各项要素进行编排整合，包括真实IP、网卡、虚拟身份、剪贴板、设备指纹、样本留存、屏幕截图等；以【溯源易】为目标，直观体现出有助于威胁溯源的有效数据元素；②支持易溯源IP详情展示，包括IP基础信息、虚拟身份账号、剪贴板文本/文件数据、监听入侵设备的端口列表、入侵设备端口连接记录、入侵设备屏幕截屏、威胁样本。以上2项内容每满足一项得1.5分，满分3分。（需提供满足以上功能描述的产品相关证明并加盖公章。）</w:t>
            </w:r>
          </w:p>
        </w:tc>
      </w:tr>
      <w:tr>
        <w:tc>
          <w:tcPr>
            <w:tcW w:type="dxa" w:w="3322"/>
          </w:tcPr>
          <w:p>
            <w:pPr>
              <w:pStyle w:val="null3"/>
              <w:jc w:val="left"/>
            </w:pPr>
            <w:r>
              <w:rPr/>
              <w:t>服务工具专业性检测报告1</w:t>
            </w:r>
          </w:p>
        </w:tc>
        <w:tc>
          <w:tcPr>
            <w:tcW w:type="dxa" w:w="831"/>
          </w:tcPr>
          <w:p>
            <w:pPr>
              <w:pStyle w:val="null3"/>
              <w:jc w:val="right"/>
            </w:pPr>
            <w:r>
              <w:rPr/>
              <w:t>3.00</w:t>
            </w:r>
          </w:p>
        </w:tc>
        <w:tc>
          <w:tcPr>
            <w:tcW w:type="dxa" w:w="4153"/>
          </w:tcPr>
          <w:p>
            <w:pPr>
              <w:pStyle w:val="null3"/>
              <w:jc w:val="left"/>
            </w:pPr>
            <w:r>
              <w:rPr/>
              <w:t>供应商采用的服务工具等级保护建设过程中利用等级保护综合管理系统对信息资产进行管理：①提供3种以上扫描器对相应信息系统进行漏洞扫描结果的结果导入；提供漏洞描述、解决建议、其他信息、操作记录并可进入整改流程；②提供管理制度在线预览和制度文件替换、模板一键导出等功能；③提供对管理流程执行中涉及的审批流程进行在线审批进行设置，并对审批进行提醒和记录；可展示每日工作日程，展示待审批记录、未完成任务；以上3项内容每满足一项得1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服务工具专业性检测报告2</w:t>
            </w:r>
          </w:p>
        </w:tc>
        <w:tc>
          <w:tcPr>
            <w:tcW w:type="dxa" w:w="831"/>
          </w:tcPr>
          <w:p>
            <w:pPr>
              <w:pStyle w:val="null3"/>
              <w:jc w:val="right"/>
            </w:pPr>
            <w:r>
              <w:rPr/>
              <w:t>3.00</w:t>
            </w:r>
          </w:p>
        </w:tc>
        <w:tc>
          <w:tcPr>
            <w:tcW w:type="dxa" w:w="4153"/>
          </w:tcPr>
          <w:p>
            <w:pPr>
              <w:pStyle w:val="null3"/>
              <w:jc w:val="left"/>
            </w:pPr>
            <w:r>
              <w:rPr/>
              <w:t>供应商采用的服务工具等保资产分析服务工具支持快速获取主机的软硬件资产信息，包括主机资产名称、Ip、Mac、CPU、内存、硬盘、网卡、操作系统、网络配置、安装软件、服务等内容。支持主机基线检查与设置功能，找出不符合安全管理规范的主机，检查内容包括异常账户、安全防护软件、进程等的得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服务工具专业性检测报告3</w:t>
            </w:r>
          </w:p>
        </w:tc>
        <w:tc>
          <w:tcPr>
            <w:tcW w:type="dxa" w:w="831"/>
          </w:tcPr>
          <w:p>
            <w:pPr>
              <w:pStyle w:val="null3"/>
              <w:jc w:val="right"/>
            </w:pPr>
            <w:r>
              <w:rPr/>
              <w:t>3.00</w:t>
            </w:r>
          </w:p>
        </w:tc>
        <w:tc>
          <w:tcPr>
            <w:tcW w:type="dxa" w:w="4153"/>
          </w:tcPr>
          <w:p>
            <w:pPr>
              <w:pStyle w:val="null3"/>
              <w:jc w:val="left"/>
            </w:pPr>
            <w:r>
              <w:rPr/>
              <w:t>供应商采用的服务工具等保风险评估服务工具：①支持识别异常网络连接，标识网络连接中的IP归属地，并以不同颜色区分局域网IP、国内IP、境外IP，帮助技术人员快速识别异常网络连接；②支持IP与云端的威胁情报库进行联动，能够自动识别挖矿木马、勒索软件、傀儡机、Cobaltstrike等类型的威胁；以上2项内容每满足一项得1.5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服务工具专业性检测报告4</w:t>
            </w:r>
          </w:p>
        </w:tc>
        <w:tc>
          <w:tcPr>
            <w:tcW w:type="dxa" w:w="831"/>
          </w:tcPr>
          <w:p>
            <w:pPr>
              <w:pStyle w:val="null3"/>
              <w:jc w:val="right"/>
            </w:pPr>
            <w:r>
              <w:rPr/>
              <w:t>3.00</w:t>
            </w:r>
          </w:p>
        </w:tc>
        <w:tc>
          <w:tcPr>
            <w:tcW w:type="dxa" w:w="4153"/>
          </w:tcPr>
          <w:p>
            <w:pPr>
              <w:pStyle w:val="null3"/>
              <w:jc w:val="left"/>
            </w:pPr>
            <w:r>
              <w:rPr/>
              <w:t>供应商采用的服务工具等保风险评估服务工具:①支持并识别仿冒系统自带进程的异常进程（如svch0st.exe、1sass.exe、winl0g0n.exe等）；②可发现网页木马，反动、赌博、色情等内容页面，检查的目标文件类型支持PHP、ASP、JSP、ASPX、JSPX等脚本类型；③检测出来的结果对各类威胁进行自动评分，并按照危险值从高到低进行排序；以上3项内容每满足一项得1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服务工具全面性检测报告1</w:t>
            </w:r>
          </w:p>
        </w:tc>
        <w:tc>
          <w:tcPr>
            <w:tcW w:type="dxa" w:w="831"/>
          </w:tcPr>
          <w:p>
            <w:pPr>
              <w:pStyle w:val="null3"/>
              <w:jc w:val="right"/>
            </w:pPr>
            <w:r>
              <w:rPr/>
              <w:t>3.00</w:t>
            </w:r>
          </w:p>
        </w:tc>
        <w:tc>
          <w:tcPr>
            <w:tcW w:type="dxa" w:w="4153"/>
          </w:tcPr>
          <w:p>
            <w:pPr>
              <w:pStyle w:val="null3"/>
              <w:jc w:val="left"/>
            </w:pPr>
            <w:r>
              <w:rPr/>
              <w:t>供应商采用的服务工具Windows系统加固：①根据等级保护的安全计算环境安全要策略要求，配置加固策略，自动完成对不符合项的加固工作，加固策略包括身份鉴别、访问控制、安全审计、入侵防范、恶意代码防范、安全实践经验（如禁止IPC空连接、关闭自动播放等）等；②基线模板及模板中的各策略项参数值均支持自定议；以上2项内容每满足一项得1.5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服务工具全面性检测报告2</w:t>
            </w:r>
          </w:p>
        </w:tc>
        <w:tc>
          <w:tcPr>
            <w:tcW w:type="dxa" w:w="831"/>
          </w:tcPr>
          <w:p>
            <w:pPr>
              <w:pStyle w:val="null3"/>
              <w:jc w:val="right"/>
            </w:pPr>
            <w:r>
              <w:rPr/>
              <w:t>3.00</w:t>
            </w:r>
          </w:p>
        </w:tc>
        <w:tc>
          <w:tcPr>
            <w:tcW w:type="dxa" w:w="4153"/>
          </w:tcPr>
          <w:p>
            <w:pPr>
              <w:pStyle w:val="null3"/>
              <w:jc w:val="left"/>
            </w:pPr>
            <w:r>
              <w:rPr/>
              <w:t>供应商采用的服务工具Webshell扫描，反动/赌博/色情内容发现：①可发现网页木马，反动、赌博、色情等内容页面；②检查的目标文件类型支持PHP、ASP、JSP、ASPX、JSPX等脚本类型；③检测出来的结果对各类威胁进行自动评分，并按照危险值从高到低进行排序；以上3项内容每满足一项得1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服务工具全面性检测报告3</w:t>
            </w:r>
          </w:p>
        </w:tc>
        <w:tc>
          <w:tcPr>
            <w:tcW w:type="dxa" w:w="831"/>
          </w:tcPr>
          <w:p>
            <w:pPr>
              <w:pStyle w:val="null3"/>
              <w:jc w:val="right"/>
            </w:pPr>
            <w:r>
              <w:rPr/>
              <w:t>3.00</w:t>
            </w:r>
          </w:p>
        </w:tc>
        <w:tc>
          <w:tcPr>
            <w:tcW w:type="dxa" w:w="4153"/>
          </w:tcPr>
          <w:p>
            <w:pPr>
              <w:pStyle w:val="null3"/>
              <w:jc w:val="left"/>
            </w:pPr>
            <w:r>
              <w:rPr/>
              <w:t>供应商采用的服务工具补丁分析：①通过检测系统已安装的安全补丁，判断当前系统存在的高风险漏洞，已经需要安装的补丁文件；②配置核查：依据等级保护基线要求，对主机安全配置进行基线检查；③木马后门：自动识别并标识木马后门等恶意程序；以上3项内容每满足一项得1分，满分3分。（须提供国家认可的第三方检测机构出具的带CMA标志且页码连续完整的检测报告复印件并加盖供应商公章，报告内容须覆盖以上功能项，供应商须在提供的报告中根据参数要求的各项功能点进行逐一标识。）</w:t>
            </w:r>
          </w:p>
        </w:tc>
      </w:tr>
      <w:tr>
        <w:tc>
          <w:tcPr>
            <w:tcW w:type="dxa" w:w="3322"/>
          </w:tcPr>
          <w:p>
            <w:pPr>
              <w:pStyle w:val="null3"/>
              <w:jc w:val="left"/>
            </w:pPr>
            <w:r>
              <w:rPr/>
              <w:t>服务工具功能截图1</w:t>
            </w:r>
          </w:p>
        </w:tc>
        <w:tc>
          <w:tcPr>
            <w:tcW w:type="dxa" w:w="831"/>
          </w:tcPr>
          <w:p>
            <w:pPr>
              <w:pStyle w:val="null3"/>
              <w:jc w:val="right"/>
            </w:pPr>
            <w:r>
              <w:rPr/>
              <w:t>3.00</w:t>
            </w:r>
          </w:p>
        </w:tc>
        <w:tc>
          <w:tcPr>
            <w:tcW w:type="dxa" w:w="4153"/>
          </w:tcPr>
          <w:p>
            <w:pPr>
              <w:pStyle w:val="null3"/>
              <w:jc w:val="left"/>
            </w:pPr>
            <w:r>
              <w:rPr/>
              <w:t>供应商采用的服务工具能够进行漏洞管理：①通过内置引擎漏洞规则库进行漏洞扫描；②发现漏洞并进行漏洞处置，支持对漏洞进行邮件、微信等推送通告；③扫描后可生成漏洞报告，能够通过文字、图等直观展示漏洞详情。提供以上功能截图每满足一项得1分，满分3分。</w:t>
            </w:r>
          </w:p>
        </w:tc>
      </w:tr>
      <w:tr>
        <w:tc>
          <w:tcPr>
            <w:tcW w:type="dxa" w:w="3322"/>
          </w:tcPr>
          <w:p>
            <w:pPr>
              <w:pStyle w:val="null3"/>
              <w:jc w:val="left"/>
            </w:pPr>
            <w:r>
              <w:rPr/>
              <w:t>服务工具功能截图2</w:t>
            </w:r>
          </w:p>
        </w:tc>
        <w:tc>
          <w:tcPr>
            <w:tcW w:type="dxa" w:w="831"/>
          </w:tcPr>
          <w:p>
            <w:pPr>
              <w:pStyle w:val="null3"/>
              <w:jc w:val="right"/>
            </w:pPr>
            <w:r>
              <w:rPr/>
              <w:t>2.00</w:t>
            </w:r>
          </w:p>
        </w:tc>
        <w:tc>
          <w:tcPr>
            <w:tcW w:type="dxa" w:w="4153"/>
          </w:tcPr>
          <w:p>
            <w:pPr>
              <w:pStyle w:val="null3"/>
              <w:jc w:val="left"/>
            </w:pPr>
            <w:r>
              <w:rPr/>
              <w:t>供应商所采用的服务工具能够对web源代码进行扫描：①检查代码中的网页木马、网页挂马，②检查代码中的网页暗链。提供以上功能截图每满足一项得1分，满分2分。</w:t>
            </w:r>
          </w:p>
        </w:tc>
      </w:tr>
    </w:tbl>
    <w:p>
      <w:pPr>
        <w:pStyle w:val="null3"/>
        <w:jc w:val="left"/>
      </w:pPr>
      <w:r>
        <w:rPr/>
        <w:t>商务部分评分PB 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等级测评项目经理</w:t>
            </w:r>
          </w:p>
        </w:tc>
        <w:tc>
          <w:tcPr>
            <w:tcW w:type="dxa" w:w="831"/>
          </w:tcPr>
          <w:p>
            <w:pPr>
              <w:pStyle w:val="null3"/>
              <w:jc w:val="right"/>
            </w:pPr>
            <w:r>
              <w:rPr/>
              <w:t>1.00</w:t>
            </w:r>
          </w:p>
        </w:tc>
        <w:tc>
          <w:tcPr>
            <w:tcW w:type="dxa" w:w="4153"/>
          </w:tcPr>
          <w:p>
            <w:pPr>
              <w:pStyle w:val="null3"/>
              <w:jc w:val="left"/>
            </w:pPr>
            <w:r>
              <w:rPr/>
              <w:t>供应商拟投入本项目的等级测评项目经理须具有注册信息安全专业人员证书（CISO）提供得1分，满分1分，须提供相关证明材料复印件并加盖公章，否则不得分。</w:t>
            </w:r>
          </w:p>
        </w:tc>
      </w:tr>
      <w:tr>
        <w:tc>
          <w:tcPr>
            <w:tcW w:type="dxa" w:w="3322"/>
          </w:tcPr>
          <w:p>
            <w:pPr>
              <w:pStyle w:val="null3"/>
              <w:jc w:val="left"/>
            </w:pPr>
            <w:r>
              <w:rPr/>
              <w:t>安全运维项目经理</w:t>
            </w:r>
          </w:p>
        </w:tc>
        <w:tc>
          <w:tcPr>
            <w:tcW w:type="dxa" w:w="831"/>
          </w:tcPr>
          <w:p>
            <w:pPr>
              <w:pStyle w:val="null3"/>
              <w:jc w:val="right"/>
            </w:pPr>
            <w:r>
              <w:rPr/>
              <w:t>1.00</w:t>
            </w:r>
          </w:p>
        </w:tc>
        <w:tc>
          <w:tcPr>
            <w:tcW w:type="dxa" w:w="4153"/>
          </w:tcPr>
          <w:p>
            <w:pPr>
              <w:pStyle w:val="null3"/>
              <w:jc w:val="left"/>
            </w:pPr>
            <w:r>
              <w:rPr/>
              <w:t>供应商拟投入的安全运维项目经理具有：软件测评师证书的得1分，满分1分，须提供相关证明材料复印件并加盖公章，否则不得分。</w:t>
            </w:r>
          </w:p>
        </w:tc>
      </w:tr>
      <w:tr>
        <w:tc>
          <w:tcPr>
            <w:tcW w:type="dxa" w:w="3322"/>
          </w:tcPr>
          <w:p>
            <w:pPr>
              <w:pStyle w:val="null3"/>
              <w:jc w:val="left"/>
            </w:pPr>
            <w:r>
              <w:rPr/>
              <w:t>安全服务证书1</w:t>
            </w:r>
          </w:p>
        </w:tc>
        <w:tc>
          <w:tcPr>
            <w:tcW w:type="dxa" w:w="831"/>
          </w:tcPr>
          <w:p>
            <w:pPr>
              <w:pStyle w:val="null3"/>
              <w:jc w:val="right"/>
            </w:pPr>
            <w:r>
              <w:rPr/>
              <w:t>1.00</w:t>
            </w:r>
          </w:p>
        </w:tc>
        <w:tc>
          <w:tcPr>
            <w:tcW w:type="dxa" w:w="4153"/>
          </w:tcPr>
          <w:p>
            <w:pPr>
              <w:pStyle w:val="null3"/>
              <w:jc w:val="left"/>
            </w:pPr>
            <w:r>
              <w:rPr/>
              <w:t>供应商具备信息安全管理体系认证证书，提供得1分，满分1分，需提供相关证明材料复印件。</w:t>
            </w:r>
          </w:p>
        </w:tc>
      </w:tr>
      <w:tr>
        <w:tc>
          <w:tcPr>
            <w:tcW w:type="dxa" w:w="3322"/>
          </w:tcPr>
          <w:p>
            <w:pPr>
              <w:pStyle w:val="null3"/>
              <w:jc w:val="left"/>
            </w:pPr>
            <w:r>
              <w:rPr/>
              <w:t>安全服务证书2</w:t>
            </w:r>
          </w:p>
        </w:tc>
        <w:tc>
          <w:tcPr>
            <w:tcW w:type="dxa" w:w="831"/>
          </w:tcPr>
          <w:p>
            <w:pPr>
              <w:pStyle w:val="null3"/>
              <w:jc w:val="right"/>
            </w:pPr>
            <w:r>
              <w:rPr/>
              <w:t>3.00</w:t>
            </w:r>
          </w:p>
        </w:tc>
        <w:tc>
          <w:tcPr>
            <w:tcW w:type="dxa" w:w="4153"/>
          </w:tcPr>
          <w:p>
            <w:pPr>
              <w:pStyle w:val="null3"/>
              <w:jc w:val="left"/>
            </w:pPr>
            <w:r>
              <w:rPr/>
              <w:t>供应商具备CCRC-信息安全风险评估（三级）、CCRC-信息系统安全运维（三级）、CCRC-信息安全应急处理（三级），每提供一份证书的得1分，满分3分，需提供相关证明材料复印件。</w:t>
            </w:r>
          </w:p>
        </w:tc>
      </w:tr>
      <w:tr>
        <w:tc>
          <w:tcPr>
            <w:tcW w:type="dxa" w:w="3322"/>
          </w:tcPr>
          <w:p>
            <w:pPr>
              <w:pStyle w:val="null3"/>
              <w:jc w:val="left"/>
            </w:pPr>
            <w:r>
              <w:rPr/>
              <w:t>业绩</w:t>
            </w:r>
          </w:p>
        </w:tc>
        <w:tc>
          <w:tcPr>
            <w:tcW w:type="dxa" w:w="831"/>
          </w:tcPr>
          <w:p>
            <w:pPr>
              <w:pStyle w:val="null3"/>
              <w:jc w:val="right"/>
            </w:pPr>
            <w:r>
              <w:rPr/>
              <w:t>3.00</w:t>
            </w:r>
          </w:p>
        </w:tc>
        <w:tc>
          <w:tcPr>
            <w:tcW w:type="dxa" w:w="4153"/>
          </w:tcPr>
          <w:p>
            <w:pPr>
              <w:pStyle w:val="null3"/>
              <w:jc w:val="left"/>
            </w:pPr>
            <w:r>
              <w:rPr/>
              <w:t>根据各供应商所提供自2019年01月01日起至本次首次响应文件递交截止日期止（日期以合同签订日期为准）由供应商自身完成的等级保护测评类业绩情况，由磋商小组进行评分：每提供一份完整合格的业绩项目得1分, 满分3分。【业绩项目中须含成交公告（提供相关网站成交公告的下载网页并注明网址）、成交通知书复印件、采购合同文本复印件，以及能够证明该业绩项目已经采购人验收合格的相关证明文件复印件，未同时提供以上各项证明材料的，该项业绩不给予计分。）。（供应商在响应文件中应如实提供销售业绩项目证明文件的复印件，采购人将保留要求供应商提供销售业绩项目的证明文件原件予以核查的权利。】</w:t>
            </w:r>
          </w:p>
        </w:tc>
      </w:tr>
      <w:tr>
        <w:tc>
          <w:tcPr>
            <w:tcW w:type="dxa" w:w="3322"/>
          </w:tcPr>
          <w:p>
            <w:pPr>
              <w:pStyle w:val="null3"/>
              <w:jc w:val="left"/>
            </w:pPr>
            <w:r>
              <w:rPr/>
              <w:t>满意度</w:t>
            </w:r>
          </w:p>
        </w:tc>
        <w:tc>
          <w:tcPr>
            <w:tcW w:type="dxa" w:w="831"/>
          </w:tcPr>
          <w:p>
            <w:pPr>
              <w:pStyle w:val="null3"/>
              <w:jc w:val="right"/>
            </w:pPr>
            <w:r>
              <w:rPr/>
              <w:t>3.00</w:t>
            </w:r>
          </w:p>
        </w:tc>
        <w:tc>
          <w:tcPr>
            <w:tcW w:type="dxa" w:w="4153"/>
          </w:tcPr>
          <w:p>
            <w:pPr>
              <w:pStyle w:val="null3"/>
              <w:jc w:val="left"/>
            </w:pPr>
            <w:r>
              <w:rPr/>
              <w:t>根据供应商提供自2019年1月1日起至本次首次响应文件递交截止日期止（日期以合同签订日期为准），供应商承担的同类服务项目受到采购人评价为“满意”或“良好”等同类服务评价的，每提供1份的得1分，满分3分。供应商须提供采购人评价满意证明文本复印件（需加盖采购人单位章）、采购人单位名称、联系人、联系电话以便核实，否则不得分， 注：同一采购人单位出具的满意度证明材料不重复得分，满意度材料不得与业绩项重复得分。</w:t>
            </w:r>
          </w:p>
        </w:tc>
      </w:tr>
      <w:tr>
        <w:tc>
          <w:tcPr>
            <w:tcW w:type="dxa" w:w="3322"/>
          </w:tcPr>
          <w:p>
            <w:pPr>
              <w:pStyle w:val="null3"/>
              <w:jc w:val="left"/>
            </w:pPr>
            <w:r>
              <w:rPr/>
              <w:t>应急服务能力</w:t>
            </w:r>
          </w:p>
        </w:tc>
        <w:tc>
          <w:tcPr>
            <w:tcW w:type="dxa" w:w="831"/>
          </w:tcPr>
          <w:p>
            <w:pPr>
              <w:pStyle w:val="null3"/>
              <w:jc w:val="right"/>
            </w:pPr>
            <w:r>
              <w:rPr/>
              <w:t>3.00</w:t>
            </w:r>
          </w:p>
        </w:tc>
        <w:tc>
          <w:tcPr>
            <w:tcW w:type="dxa" w:w="4153"/>
          </w:tcPr>
          <w:p>
            <w:pPr>
              <w:pStyle w:val="null3"/>
              <w:jc w:val="left"/>
            </w:pPr>
            <w:r>
              <w:rPr/>
              <w:t>根据各供应商所提供的服务保障体系、维护响应计划进行评分，包括持续服务保障情况、驻点维保人数、响应时间、响应方式等，由磋商小组进行评分：方案详实、切合实际的得3分；方案部分详实或部分内容切合实际的得2分；方案阐述简短的得1分；其余情况不得分。未提供或内容存在明显错误、内容明显不适用于本项目需求的均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属于实质性响应审查不合格情形的。</w:t>
            </w:r>
          </w:p>
        </w:tc>
      </w:tr>
      <w:tr>
        <w:tc>
          <w:tcPr>
            <w:tcW w:type="dxa" w:w="4153"/>
          </w:tcPr>
          <w:p>
            <w:pPr>
              <w:pStyle w:val="null3"/>
              <w:jc w:val="left"/>
            </w:pPr>
            <w:r>
              <w:rPr/>
              <w:t>其他情形</w:t>
            </w:r>
          </w:p>
        </w:tc>
        <w:tc>
          <w:tcPr>
            <w:tcW w:type="dxa" w:w="4153"/>
          </w:tcPr>
          <w:p>
            <w:pPr>
              <w:pStyle w:val="null3"/>
              <w:jc w:val="left"/>
            </w:pPr>
            <w:r>
              <w:rPr/>
              <w:t>属于竞争性磋商文件中规定的响应无效情形的。</w:t>
            </w:r>
          </w:p>
        </w:tc>
      </w:tr>
      <w:tr>
        <w:tc>
          <w:tcPr>
            <w:tcW w:type="dxa" w:w="4153"/>
          </w:tcPr>
          <w:p>
            <w:pPr>
              <w:pStyle w:val="null3"/>
              <w:jc w:val="left"/>
            </w:pPr>
            <w:r>
              <w:rPr/>
              <w:t>其他情形</w:t>
            </w:r>
          </w:p>
        </w:tc>
        <w:tc>
          <w:tcPr>
            <w:tcW w:type="dxa" w:w="4153"/>
          </w:tcPr>
          <w:p>
            <w:pPr>
              <w:pStyle w:val="null3"/>
              <w:jc w:val="left"/>
            </w:pPr>
            <w:r>
              <w:rPr/>
              <w:t>属于竞争性磋商文件第二章第14.2.1条规定的无效处理情形。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属于实质性响应审查不合格情形的。</w:t>
            </w:r>
          </w:p>
        </w:tc>
      </w:tr>
      <w:tr>
        <w:tc>
          <w:tcPr>
            <w:tcW w:type="dxa" w:w="4153"/>
          </w:tcPr>
          <w:p>
            <w:pPr>
              <w:pStyle w:val="null3"/>
              <w:jc w:val="left"/>
            </w:pPr>
            <w:r>
              <w:rPr/>
              <w:t>其他情形</w:t>
            </w:r>
          </w:p>
        </w:tc>
        <w:tc>
          <w:tcPr>
            <w:tcW w:type="dxa" w:w="4153"/>
          </w:tcPr>
          <w:p>
            <w:pPr>
              <w:pStyle w:val="null3"/>
              <w:jc w:val="left"/>
            </w:pPr>
            <w:r>
              <w:rPr/>
              <w:t>属于竞争性磋商文件中规定的响应无效情形的。</w:t>
            </w:r>
          </w:p>
        </w:tc>
      </w:tr>
      <w:tr>
        <w:tc>
          <w:tcPr>
            <w:tcW w:type="dxa" w:w="4153"/>
          </w:tcPr>
          <w:p>
            <w:pPr>
              <w:pStyle w:val="null3"/>
              <w:jc w:val="left"/>
            </w:pPr>
            <w:r>
              <w:rPr/>
              <w:t>其他情形</w:t>
            </w:r>
          </w:p>
        </w:tc>
        <w:tc>
          <w:tcPr>
            <w:tcW w:type="dxa" w:w="4153"/>
          </w:tcPr>
          <w:p>
            <w:pPr>
              <w:pStyle w:val="null3"/>
              <w:jc w:val="left"/>
            </w:pPr>
            <w:r>
              <w:rPr/>
              <w:t>属于竞争性磋商文件第二章第14.2.1条规定的无效处理情形。</w:t>
            </w:r>
          </w:p>
        </w:tc>
      </w:tr>
      <w:tr>
        <w:tc>
          <w:tcPr>
            <w:tcW w:type="dxa" w:w="4153"/>
          </w:tcPr>
          <w:p>
            <w:pPr>
              <w:pStyle w:val="null3"/>
              <w:jc w:val="left"/>
            </w:pPr>
            <w:r>
              <w:rPr/>
              <w:t>其他情形</w:t>
            </w:r>
          </w:p>
        </w:tc>
        <w:tc>
          <w:tcPr>
            <w:tcW w:type="dxa" w:w="4153"/>
          </w:tcPr>
          <w:p>
            <w:pPr>
              <w:pStyle w:val="null3"/>
              <w:jc w:val="left"/>
            </w:pPr>
            <w:r>
              <w:rPr/>
              <w:t>不符合竞争性磋商文件中“三、商务条件”的条款，视为无效响应。</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rPr>
        <w:t>为了加强福建省民政厅信息安全保障水平，根据《网络安全法》、《信息安全系统等级保护管理办法》等相关规定，参照网络安全等级保护相关标准要求，结合信息系统的业务安全需求特点，构建以安全管理体系、安全技术体系，为信息系统业务的运行提供安全保障。</w:t>
      </w:r>
    </w:p>
    <w:p>
      <w:pPr>
        <w:pStyle w:val="null3"/>
        <w:ind w:firstLine="480"/>
        <w:jc w:val="both"/>
      </w:pPr>
      <w:r>
        <w:rPr>
          <w:rFonts w:ascii="宋体" w:hAnsi="宋体" w:cs="宋体" w:eastAsia="宋体"/>
          <w:sz w:val="24"/>
        </w:rPr>
        <w:t>本项目对福建省民政厅的相对应系统进行等级保护安全服务，完善安全防护措施，通过等级保护的评测，旨在通过建立网络与信息安全保护工作长效机制，切实提高福建省民政厅网络与信息安全防护能力、隐患发现能力、应急处置能力，为采购人信息化发展提供可靠保障。</w:t>
      </w:r>
    </w:p>
    <w:p>
      <w:pPr>
        <w:pStyle w:val="null3"/>
        <w:jc w:val="left"/>
        <w:outlineLvl w:val="2"/>
      </w:pPr>
      <w:r>
        <w:rPr>
          <w:b/>
          <w:sz w:val="28"/>
        </w:rPr>
        <w:t>二、技术要求</w:t>
      </w:r>
    </w:p>
    <w:p>
      <w:pPr>
        <w:pStyle w:val="null3"/>
        <w:jc w:val="left"/>
      </w:pPr>
      <w:r>
        <w:rPr>
          <w:rFonts w:ascii="宋体" w:hAnsi="宋体" w:cs="宋体" w:eastAsia="宋体"/>
          <w:b/>
          <w:sz w:val="24"/>
        </w:rPr>
        <w:t>1、服务范围</w:t>
      </w:r>
    </w:p>
    <w:p>
      <w:pPr>
        <w:pStyle w:val="null3"/>
        <w:spacing w:before="150" w:after="150"/>
        <w:ind w:firstLine="480"/>
      </w:pPr>
      <w:r>
        <w:rPr>
          <w:rFonts w:ascii="宋体" w:hAnsi="宋体" w:cs="宋体" w:eastAsia="宋体"/>
          <w:sz w:val="24"/>
        </w:rPr>
        <w:t>【</w:t>
      </w:r>
      <w:r>
        <w:rPr>
          <w:rFonts w:ascii="宋体" w:hAnsi="宋体" w:cs="宋体" w:eastAsia="宋体"/>
          <w:sz w:val="24"/>
        </w:rPr>
        <w:t>★</w:t>
      </w:r>
      <w:r>
        <w:rPr>
          <w:rFonts w:ascii="宋体" w:hAnsi="宋体" w:cs="宋体" w:eastAsia="宋体"/>
          <w:sz w:val="24"/>
        </w:rPr>
        <w:t>评审指标</w:t>
      </w:r>
      <w:r>
        <w:rPr>
          <w:rFonts w:ascii="宋体" w:hAnsi="宋体" w:cs="宋体" w:eastAsia="宋体"/>
          <w:sz w:val="24"/>
        </w:rPr>
        <w:t>1】</w:t>
      </w:r>
      <w:r>
        <w:rPr>
          <w:rFonts w:ascii="宋体" w:hAnsi="宋体" w:cs="宋体" w:eastAsia="宋体"/>
          <w:sz w:val="24"/>
        </w:rPr>
        <w:t>服务范围要求如下：</w:t>
      </w:r>
    </w:p>
    <w:tbl>
      <w:tblPr>
        <w:tblW w:w="0" w:type="auto"/>
        <w:tblBorders>
          <w:top w:val="none" w:color="000000" w:sz="4"/>
          <w:left w:val="none" w:color="000000" w:sz="4"/>
          <w:bottom w:val="none" w:color="000000" w:sz="4"/>
          <w:right w:val="none" w:color="000000" w:sz="4"/>
          <w:insideH w:val="none"/>
          <w:insideV w:val="none"/>
        </w:tblBorders>
      </w:tblPr>
      <w:tblGrid>
        <w:gridCol w:w="5932"/>
        <w:gridCol w:w="2374"/>
      </w:tblGrid>
      <w:tr>
        <w:tc>
          <w:tcPr>
            <w:tcW w:type="dxa" w:w="5932"/>
            <w:tcBorders>
              <w:top w:val="single" w:color="000000" w:sz="8"/>
              <w:left w:val="single" w:color="000000" w:sz="8"/>
              <w:bottom w:val="single" w:color="000000" w:sz="8"/>
              <w:right w:val="single" w:color="000000" w:sz="8"/>
            </w:tcBorders>
            <w:shd w:fill="DDEBF7"/>
            <w:tcMar>
              <w:top w:type="dxa" w:w="0"/>
              <w:left w:type="dxa" w:w="105"/>
              <w:bottom w:type="dxa" w:w="0"/>
              <w:right w:type="dxa" w:w="105"/>
            </w:tcMar>
            <w:vAlign w:val="top"/>
          </w:tcPr>
          <w:p>
            <w:pPr>
              <w:pStyle w:val="null3"/>
              <w:jc w:val="center"/>
            </w:pPr>
            <w:r>
              <w:rPr>
                <w:rFonts w:ascii="宋体" w:hAnsi="宋体" w:cs="宋体" w:eastAsia="宋体"/>
                <w:b/>
                <w:sz w:val="24"/>
              </w:rPr>
              <w:t>应用系统</w:t>
            </w:r>
          </w:p>
        </w:tc>
        <w:tc>
          <w:tcPr>
            <w:tcW w:type="dxa" w:w="2374"/>
            <w:tcBorders>
              <w:top w:val="single" w:color="000000" w:sz="8"/>
              <w:left w:val="single" w:color="000000" w:sz="8"/>
              <w:bottom w:val="single" w:color="000000" w:sz="8"/>
              <w:right w:val="single" w:color="000000" w:sz="8"/>
            </w:tcBorders>
            <w:shd w:fill="DDEBF7"/>
            <w:tcMar>
              <w:top w:type="dxa" w:w="0"/>
              <w:left w:type="dxa" w:w="105"/>
              <w:bottom w:type="dxa" w:w="0"/>
              <w:right w:type="dxa" w:w="105"/>
            </w:tcMar>
            <w:vAlign w:val="top"/>
          </w:tcPr>
          <w:p>
            <w:pPr>
              <w:pStyle w:val="null3"/>
              <w:jc w:val="center"/>
            </w:pPr>
            <w:r>
              <w:rPr>
                <w:rFonts w:ascii="宋体" w:hAnsi="宋体" w:cs="宋体" w:eastAsia="宋体"/>
                <w:b/>
                <w:sz w:val="24"/>
              </w:rPr>
              <w:t>定级</w:t>
            </w:r>
          </w:p>
        </w:tc>
      </w:tr>
      <w:tr>
        <w:tc>
          <w:tcPr>
            <w:tcW w:type="dxa" w:w="59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福建省婚姻登记管理信息系统</w:t>
            </w:r>
          </w:p>
        </w:tc>
        <w:tc>
          <w:tcPr>
            <w:tcW w:type="dxa" w:w="23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593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福建省低保管理系统</w:t>
            </w:r>
          </w:p>
        </w:tc>
        <w:tc>
          <w:tcPr>
            <w:tcW w:type="dxa" w:w="237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593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福建省区划地名界线数据库及管理系统</w:t>
            </w:r>
          </w:p>
        </w:tc>
        <w:tc>
          <w:tcPr>
            <w:tcW w:type="dxa" w:w="237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59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福建省救助家庭经济状况核对平台</w:t>
            </w:r>
          </w:p>
        </w:tc>
        <w:tc>
          <w:tcPr>
            <w:tcW w:type="dxa" w:w="23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5932"/>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福建省民政厅门户网站</w:t>
            </w:r>
          </w:p>
        </w:tc>
        <w:tc>
          <w:tcPr>
            <w:tcW w:type="dxa" w:w="2374"/>
            <w:tcBorders>
              <w:top w:val="none" w:color="000000" w:sz="4"/>
              <w:left w:val="single" w:color="000000" w:sz="8"/>
              <w:bottom w:val="single" w:color="000000" w:sz="8"/>
              <w:right w:val="single" w:color="000000" w:sz="8"/>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59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福建省养老服务综合信息平台</w:t>
            </w:r>
          </w:p>
        </w:tc>
        <w:tc>
          <w:tcPr>
            <w:tcW w:type="dxa" w:w="23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bl>
    <w:p>
      <w:pPr>
        <w:pStyle w:val="null3"/>
        <w:spacing w:before="150" w:after="150"/>
        <w:ind w:firstLine="482"/>
      </w:pPr>
      <w:r>
        <w:rPr>
          <w:rFonts w:ascii="宋体" w:hAnsi="宋体" w:cs="宋体" w:eastAsia="宋体"/>
          <w:b/>
          <w:sz w:val="24"/>
        </w:rPr>
        <w:t>2、服务要求</w:t>
      </w:r>
    </w:p>
    <w:p>
      <w:pPr>
        <w:pStyle w:val="null3"/>
        <w:spacing w:before="150" w:after="150"/>
        <w:ind w:firstLine="480"/>
      </w:pPr>
      <w:r>
        <w:rPr>
          <w:rFonts w:ascii="宋体" w:hAnsi="宋体" w:cs="宋体" w:eastAsia="宋体"/>
          <w:sz w:val="24"/>
        </w:rPr>
        <w:t>【评审指标</w:t>
      </w:r>
      <w:r>
        <w:rPr>
          <w:rFonts w:ascii="宋体" w:hAnsi="宋体" w:cs="宋体" w:eastAsia="宋体"/>
          <w:sz w:val="24"/>
        </w:rPr>
        <w:t>2】本项目网络安全等级保护测评服务的范围包括：对本项目的安全测评委托供应商进行服务，提供安全测评等信息技术服务，并提交网络安全等级测评报告。</w:t>
      </w:r>
    </w:p>
    <w:p>
      <w:pPr>
        <w:pStyle w:val="null3"/>
        <w:spacing w:before="150" w:after="150"/>
        <w:ind w:firstLine="480"/>
      </w:pPr>
      <w:r>
        <w:rPr>
          <w:rFonts w:ascii="宋体" w:hAnsi="宋体" w:cs="宋体" w:eastAsia="宋体"/>
          <w:sz w:val="24"/>
        </w:rPr>
        <w:t>【</w:t>
      </w:r>
      <w:r>
        <w:rPr>
          <w:rFonts w:ascii="宋体" w:hAnsi="宋体" w:cs="宋体" w:eastAsia="宋体"/>
          <w:sz w:val="24"/>
        </w:rPr>
        <w:t>▲评审指标3】2.1等级保护测评服务</w:t>
      </w:r>
    </w:p>
    <w:p>
      <w:pPr>
        <w:pStyle w:val="null3"/>
        <w:spacing w:before="150" w:after="150"/>
        <w:ind w:firstLine="480"/>
      </w:pPr>
      <w:r>
        <w:rPr>
          <w:rFonts w:ascii="宋体" w:hAnsi="宋体" w:cs="宋体" w:eastAsia="宋体"/>
          <w:sz w:val="24"/>
        </w:rPr>
        <w:t>按照《信息安全等级保护管理办法》《信息安全技术网络安全等级保护基本要求》（</w:t>
      </w:r>
      <w:r>
        <w:rPr>
          <w:rFonts w:ascii="宋体" w:hAnsi="宋体" w:cs="宋体" w:eastAsia="宋体"/>
          <w:sz w:val="24"/>
        </w:rPr>
        <w:t>GB/T 22239-2019）、《信息安全技术网络安全等级保护测评要求》（GB/T28448-2019）、《信息安全技术网络安全等级保护测评过程指南》（GB/T22240-2019）、《信息安全技术网络安全保护等级实施指南》（GB/T 25058 2019）的要求，对服务范围内系统开展等保测评。测评内容包括：</w:t>
      </w:r>
    </w:p>
    <w:p>
      <w:pPr>
        <w:pStyle w:val="null3"/>
        <w:spacing w:before="150" w:after="150"/>
        <w:ind w:firstLine="480"/>
      </w:pPr>
      <w:r>
        <w:rPr>
          <w:rFonts w:ascii="宋体" w:hAnsi="宋体" w:cs="宋体" w:eastAsia="宋体"/>
          <w:sz w:val="24"/>
        </w:rPr>
        <w:t>【评审指标</w:t>
      </w:r>
      <w:r>
        <w:rPr>
          <w:rFonts w:ascii="宋体" w:hAnsi="宋体" w:cs="宋体" w:eastAsia="宋体"/>
          <w:sz w:val="24"/>
        </w:rPr>
        <w:t>4】（1）安全物理环境：</w:t>
      </w:r>
    </w:p>
    <w:p>
      <w:pPr>
        <w:pStyle w:val="null3"/>
        <w:spacing w:before="150" w:after="150"/>
        <w:ind w:firstLine="480"/>
      </w:pPr>
      <w:r>
        <w:rPr>
          <w:rFonts w:ascii="宋体" w:hAnsi="宋体" w:cs="宋体" w:eastAsia="宋体"/>
          <w:sz w:val="24"/>
        </w:rPr>
        <w:t>包括物理位置选择、物理访问控制、防盗窃和防破坏、防雷击、防火、防水和防潮、防静电、温湿度控制、电力供应、电磁防护方面。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5】（2）安全通信网络：</w:t>
      </w:r>
    </w:p>
    <w:p>
      <w:pPr>
        <w:pStyle w:val="null3"/>
        <w:spacing w:before="150" w:after="150"/>
        <w:ind w:firstLine="480"/>
      </w:pPr>
      <w:r>
        <w:rPr>
          <w:rFonts w:ascii="宋体" w:hAnsi="宋体" w:cs="宋体" w:eastAsia="宋体"/>
          <w:sz w:val="24"/>
        </w:rPr>
        <w:t>包括网络架构、通信传输、可信验证方面。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6】（3）安全区域边界：</w:t>
      </w:r>
    </w:p>
    <w:p>
      <w:pPr>
        <w:pStyle w:val="null3"/>
        <w:spacing w:before="150" w:after="150"/>
        <w:ind w:firstLine="480"/>
      </w:pPr>
      <w:r>
        <w:rPr>
          <w:rFonts w:ascii="宋体" w:hAnsi="宋体" w:cs="宋体" w:eastAsia="宋体"/>
          <w:sz w:val="24"/>
        </w:rPr>
        <w:t>包括边界防护、访问控制、入侵防范、恶意代码和垃圾邮件防范、安全审计、可信验证方面。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7】（4）安全计算环境：</w:t>
      </w:r>
    </w:p>
    <w:p>
      <w:pPr>
        <w:pStyle w:val="null3"/>
        <w:spacing w:before="150" w:after="150"/>
        <w:ind w:firstLine="480"/>
      </w:pPr>
      <w:r>
        <w:rPr>
          <w:rFonts w:ascii="宋体" w:hAnsi="宋体" w:cs="宋体" w:eastAsia="宋体"/>
          <w:sz w:val="24"/>
        </w:rPr>
        <w:t>包括身份鉴别、访问控制、安全审计、入侵防范、恶意代码防范、可信验证、数据完整性、数据保密性、数据备份恢复、剩余信息保护、个人信息保护方面。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8】（5）安全管理中心：</w:t>
      </w:r>
    </w:p>
    <w:p>
      <w:pPr>
        <w:pStyle w:val="null3"/>
        <w:spacing w:before="150" w:after="150"/>
        <w:ind w:firstLine="480"/>
      </w:pPr>
      <w:r>
        <w:rPr>
          <w:rFonts w:ascii="宋体" w:hAnsi="宋体" w:cs="宋体" w:eastAsia="宋体"/>
          <w:sz w:val="24"/>
        </w:rPr>
        <w:t>包括系统管理、审计管理、安全管理、集中管控方面。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9】（6）安全管理制度：</w:t>
      </w:r>
    </w:p>
    <w:p>
      <w:pPr>
        <w:pStyle w:val="null3"/>
        <w:spacing w:before="150" w:after="150"/>
        <w:ind w:firstLine="480"/>
      </w:pPr>
      <w:r>
        <w:rPr>
          <w:rFonts w:ascii="宋体" w:hAnsi="宋体" w:cs="宋体" w:eastAsia="宋体"/>
          <w:sz w:val="24"/>
        </w:rPr>
        <w:t>包括安全策略、管理制度、制定和发布、评审和修订方面。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10】（7）安全管理机构：</w:t>
      </w:r>
    </w:p>
    <w:p>
      <w:pPr>
        <w:pStyle w:val="null3"/>
        <w:spacing w:before="150" w:after="150"/>
        <w:ind w:firstLine="480"/>
      </w:pPr>
      <w:r>
        <w:rPr>
          <w:rFonts w:ascii="宋体" w:hAnsi="宋体" w:cs="宋体" w:eastAsia="宋体"/>
          <w:sz w:val="24"/>
        </w:rPr>
        <w:t>包括岗位设置、人员配备、授权和审批、沟通和合作、审核和检查方面。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11】（8）安全管理人员：</w:t>
      </w:r>
    </w:p>
    <w:p>
      <w:pPr>
        <w:pStyle w:val="null3"/>
        <w:spacing w:before="150" w:after="150"/>
        <w:ind w:firstLine="480"/>
      </w:pPr>
      <w:r>
        <w:rPr>
          <w:rFonts w:ascii="宋体" w:hAnsi="宋体" w:cs="宋体" w:eastAsia="宋体"/>
          <w:sz w:val="24"/>
        </w:rPr>
        <w:t>人员录用、人员离岗、安全意识教育和培训、外部人员访问管理方面。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12】（9）安全建设管理：</w:t>
      </w:r>
    </w:p>
    <w:p>
      <w:pPr>
        <w:pStyle w:val="null3"/>
        <w:spacing w:before="150" w:after="150"/>
        <w:ind w:firstLine="480"/>
      </w:pPr>
      <w:r>
        <w:rPr>
          <w:rFonts w:ascii="宋体" w:hAnsi="宋体" w:cs="宋体" w:eastAsia="宋体"/>
          <w:sz w:val="24"/>
        </w:rPr>
        <w:t>定级和备案、安全方案设计、产品采购和使用、自行软件开发、外包软件开发、工程实施、测试验收、系统交付、等级测评、服务供应商选择方面。</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13】（10）安全运维管理：</w:t>
      </w:r>
    </w:p>
    <w:p>
      <w:pPr>
        <w:pStyle w:val="null3"/>
        <w:spacing w:before="150" w:after="150"/>
        <w:ind w:firstLine="480"/>
      </w:pPr>
      <w:r>
        <w:rPr>
          <w:rFonts w:ascii="宋体" w:hAnsi="宋体" w:cs="宋体" w:eastAsia="宋体"/>
          <w:sz w:val="24"/>
        </w:rPr>
        <w:t>环境管理、资产管理、介质管理、设备维护管理、漏洞和风险管理、网络和系统安全管理、恶意代码防范管理、配置管理、密码管理、变更管理、备份和恢复管理、安全事件处置、应急预案管理、外包运维管理方面。</w:t>
      </w:r>
    </w:p>
    <w:p>
      <w:pPr>
        <w:pStyle w:val="null3"/>
        <w:spacing w:before="150" w:after="150"/>
        <w:ind w:firstLine="480"/>
      </w:pPr>
      <w:r>
        <w:rPr>
          <w:rFonts w:ascii="宋体" w:hAnsi="宋体" w:cs="宋体" w:eastAsia="宋体"/>
          <w:sz w:val="24"/>
        </w:rPr>
        <w:t>工作过程文件及项目交付成果（包括但不限于）：《信息安全等级保护等级测评报告》（测评报告内容及格式严格遵照《信息系统安全等级测评报告模版》）。</w:t>
      </w:r>
    </w:p>
    <w:p>
      <w:pPr>
        <w:pStyle w:val="null3"/>
        <w:spacing w:before="150" w:after="150"/>
        <w:ind w:firstLine="480"/>
      </w:pPr>
      <w:r>
        <w:rPr>
          <w:rFonts w:ascii="宋体" w:hAnsi="宋体" w:cs="宋体" w:eastAsia="宋体"/>
          <w:sz w:val="24"/>
        </w:rPr>
        <w:t>在项目过程中，使用的工具包含但不限于</w:t>
      </w:r>
      <w:r>
        <w:rPr>
          <w:rFonts w:ascii="宋体" w:hAnsi="宋体" w:cs="宋体" w:eastAsia="宋体"/>
          <w:sz w:val="24"/>
        </w:rPr>
        <w:t>诱捕场景应用、</w:t>
      </w:r>
      <w:r>
        <w:rPr>
          <w:rFonts w:ascii="宋体" w:hAnsi="宋体" w:cs="宋体" w:eastAsia="宋体"/>
          <w:sz w:val="24"/>
        </w:rPr>
        <w:t>IP画像分析功能、威胁溯源功能等。</w:t>
      </w:r>
    </w:p>
    <w:p>
      <w:pPr>
        <w:pStyle w:val="null3"/>
        <w:spacing w:before="150" w:after="150"/>
        <w:ind w:firstLine="480"/>
      </w:pPr>
      <w:r>
        <w:rPr>
          <w:rFonts w:ascii="宋体" w:hAnsi="宋体" w:cs="宋体" w:eastAsia="宋体"/>
          <w:sz w:val="24"/>
        </w:rPr>
        <w:t>2.2等级保护咨询服务</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14</w:t>
      </w:r>
      <w:r>
        <w:rPr>
          <w:rFonts w:ascii="宋体" w:hAnsi="宋体" w:cs="宋体" w:eastAsia="宋体"/>
          <w:sz w:val="24"/>
        </w:rPr>
        <w:t>】根据国家、地方、行业的等级保护相关政策和标准要求，分析等级保护对象的具体情况，协助完成等级保护对象风险分析、差距分析、整改加固、安全管理制度完善、测评现场辅助的工作。协助通过网络安全等级保护测评。</w:t>
      </w:r>
    </w:p>
    <w:p>
      <w:pPr>
        <w:pStyle w:val="null3"/>
        <w:spacing w:before="150" w:after="150"/>
        <w:ind w:firstLine="480"/>
      </w:pPr>
      <w:r>
        <w:rPr>
          <w:rFonts w:ascii="宋体" w:hAnsi="宋体" w:cs="宋体" w:eastAsia="宋体"/>
          <w:sz w:val="24"/>
        </w:rPr>
        <w:t>【评审指标</w:t>
      </w:r>
      <w:r>
        <w:rPr>
          <w:rFonts w:ascii="宋体" w:hAnsi="宋体" w:cs="宋体" w:eastAsia="宋体"/>
          <w:sz w:val="24"/>
        </w:rPr>
        <w:t>1</w:t>
      </w:r>
      <w:r>
        <w:rPr>
          <w:rFonts w:ascii="宋体" w:hAnsi="宋体" w:cs="宋体" w:eastAsia="宋体"/>
          <w:sz w:val="24"/>
        </w:rPr>
        <w:t>5</w:t>
      </w:r>
      <w:r>
        <w:rPr>
          <w:rFonts w:ascii="宋体" w:hAnsi="宋体" w:cs="宋体" w:eastAsia="宋体"/>
          <w:sz w:val="24"/>
        </w:rPr>
        <w:t>】（</w:t>
      </w:r>
      <w:r>
        <w:rPr>
          <w:rFonts w:ascii="宋体" w:hAnsi="宋体" w:cs="宋体" w:eastAsia="宋体"/>
          <w:sz w:val="24"/>
        </w:rPr>
        <w:t>1）等保资产分析服务</w:t>
      </w:r>
    </w:p>
    <w:p>
      <w:pPr>
        <w:pStyle w:val="null3"/>
        <w:spacing w:before="150" w:after="150"/>
        <w:ind w:firstLine="480"/>
      </w:pPr>
      <w:r>
        <w:rPr>
          <w:rFonts w:ascii="宋体" w:hAnsi="宋体" w:cs="宋体" w:eastAsia="宋体"/>
          <w:sz w:val="24"/>
        </w:rPr>
        <w:t>根据等级保护范围内的资产组成，派遣专业工程师到现场整理各个系统的网络结构拓扑以及相关联的资产，梳理信息系统资产清单及资产报告；对服务范围内信息系统开展安全物理环境、安全通信网络、安全区域边界、安全计算环境、安全管理中心以及安全管理制度进行调研和梳理。</w:t>
      </w:r>
    </w:p>
    <w:p>
      <w:pPr>
        <w:pStyle w:val="null3"/>
        <w:spacing w:before="150" w:after="150"/>
        <w:ind w:firstLine="480"/>
      </w:pPr>
      <w:r>
        <w:rPr>
          <w:rFonts w:ascii="宋体" w:hAnsi="宋体" w:cs="宋体" w:eastAsia="宋体"/>
          <w:sz w:val="24"/>
        </w:rPr>
        <w:t>【</w:t>
      </w:r>
      <w:r>
        <w:rPr>
          <w:rFonts w:ascii="宋体" w:hAnsi="宋体" w:cs="宋体" w:eastAsia="宋体"/>
          <w:sz w:val="24"/>
        </w:rPr>
        <w:t>▲评审指标1</w:t>
      </w:r>
      <w:r>
        <w:rPr>
          <w:rFonts w:ascii="宋体" w:hAnsi="宋体" w:cs="宋体" w:eastAsia="宋体"/>
          <w:sz w:val="24"/>
        </w:rPr>
        <w:t>6</w:t>
      </w:r>
      <w:r>
        <w:rPr>
          <w:rFonts w:ascii="宋体" w:hAnsi="宋体" w:cs="宋体" w:eastAsia="宋体"/>
          <w:sz w:val="24"/>
        </w:rPr>
        <w:t>】（</w:t>
      </w:r>
      <w:r>
        <w:rPr>
          <w:rFonts w:ascii="宋体" w:hAnsi="宋体" w:cs="宋体" w:eastAsia="宋体"/>
          <w:sz w:val="24"/>
        </w:rPr>
        <w:t>2）等保差距评估服务</w:t>
      </w:r>
    </w:p>
    <w:p>
      <w:pPr>
        <w:pStyle w:val="null3"/>
        <w:spacing w:before="150" w:after="150"/>
        <w:ind w:firstLine="480"/>
      </w:pPr>
      <w:r>
        <w:rPr>
          <w:rFonts w:ascii="宋体" w:hAnsi="宋体" w:cs="宋体" w:eastAsia="宋体"/>
          <w:sz w:val="24"/>
        </w:rPr>
        <w:t>在安全评估和信息系统定级的基础上，根据《</w:t>
      </w:r>
      <w:r>
        <w:rPr>
          <w:rFonts w:ascii="宋体" w:hAnsi="宋体" w:cs="宋体" w:eastAsia="宋体"/>
          <w:sz w:val="24"/>
        </w:rPr>
        <w:t>GB/T 22239-2019 信息安全技术 网络安全等级保护基本要求》将定级信息系统等级保护的各项基本要求与信息安全现状进行比较分析，从管理和技术两个层面找出存在的问题并进行差距分析。差距评估内容包括：</w:t>
      </w:r>
    </w:p>
    <w:p>
      <w:pPr>
        <w:pStyle w:val="null3"/>
        <w:spacing w:before="150" w:after="150"/>
        <w:ind w:firstLine="480"/>
      </w:pPr>
      <w:r>
        <w:rPr>
          <w:rFonts w:ascii="宋体" w:hAnsi="宋体" w:cs="宋体" w:eastAsia="宋体"/>
          <w:sz w:val="24"/>
        </w:rPr>
        <w:t>安全技术要求：安全物理环境、安全通信网络、安全区域边界、安全计算环境、安全管理中心等五个方面；</w:t>
      </w:r>
    </w:p>
    <w:p>
      <w:pPr>
        <w:pStyle w:val="null3"/>
        <w:spacing w:before="150" w:after="150"/>
        <w:ind w:firstLine="480"/>
      </w:pPr>
      <w:r>
        <w:rPr>
          <w:rFonts w:ascii="宋体" w:hAnsi="宋体" w:cs="宋体" w:eastAsia="宋体"/>
          <w:sz w:val="24"/>
        </w:rPr>
        <w:t>安全管理要求：安全管理制度、安全管理机构、安全管理人员、安全建设管理和安全运维管理等五个方面。</w:t>
      </w:r>
    </w:p>
    <w:p>
      <w:pPr>
        <w:pStyle w:val="null3"/>
        <w:spacing w:before="150" w:after="150"/>
        <w:ind w:firstLine="480"/>
      </w:pPr>
      <w:r>
        <w:rPr>
          <w:rFonts w:ascii="宋体" w:hAnsi="宋体" w:cs="宋体" w:eastAsia="宋体"/>
          <w:sz w:val="24"/>
        </w:rPr>
        <w:t>【</w:t>
      </w:r>
      <w:r>
        <w:rPr>
          <w:rFonts w:ascii="宋体" w:hAnsi="宋体" w:cs="宋体" w:eastAsia="宋体"/>
          <w:sz w:val="24"/>
        </w:rPr>
        <w:t>▲评审指标1</w:t>
      </w:r>
      <w:r>
        <w:rPr>
          <w:rFonts w:ascii="宋体" w:hAnsi="宋体" w:cs="宋体" w:eastAsia="宋体"/>
          <w:sz w:val="24"/>
        </w:rPr>
        <w:t>7</w:t>
      </w:r>
      <w:r>
        <w:rPr>
          <w:rFonts w:ascii="宋体" w:hAnsi="宋体" w:cs="宋体" w:eastAsia="宋体"/>
          <w:sz w:val="24"/>
        </w:rPr>
        <w:t>】（</w:t>
      </w:r>
      <w:r>
        <w:rPr>
          <w:rFonts w:ascii="宋体" w:hAnsi="宋体" w:cs="宋体" w:eastAsia="宋体"/>
          <w:sz w:val="24"/>
        </w:rPr>
        <w:t>3）等保安全评估服务</w:t>
      </w:r>
    </w:p>
    <w:p>
      <w:pPr>
        <w:pStyle w:val="null3"/>
        <w:spacing w:before="150" w:after="150"/>
        <w:ind w:firstLine="480"/>
      </w:pPr>
      <w:r>
        <w:rPr>
          <w:rFonts w:ascii="宋体" w:hAnsi="宋体" w:cs="宋体" w:eastAsia="宋体"/>
          <w:sz w:val="24"/>
        </w:rPr>
        <w:t>对应用系统常见威胁进行评估并根据等级保护要求结合福建省民政厅具体情况进行等级保护安全测试评估工作。</w:t>
      </w:r>
    </w:p>
    <w:p>
      <w:pPr>
        <w:pStyle w:val="null3"/>
        <w:spacing w:before="150" w:after="150"/>
        <w:ind w:firstLine="480"/>
      </w:pPr>
      <w:r>
        <w:rPr>
          <w:rFonts w:ascii="宋体" w:hAnsi="宋体" w:cs="宋体" w:eastAsia="宋体"/>
          <w:sz w:val="24"/>
        </w:rPr>
        <w:t>等保测评前对信息系统进行漏洞扫描，评估系统的脆弱性。</w:t>
      </w:r>
    </w:p>
    <w:p>
      <w:pPr>
        <w:pStyle w:val="null3"/>
        <w:spacing w:before="150" w:after="150"/>
        <w:ind w:firstLine="480"/>
      </w:pPr>
      <w:r>
        <w:rPr>
          <w:rFonts w:ascii="宋体" w:hAnsi="宋体" w:cs="宋体" w:eastAsia="宋体"/>
          <w:sz w:val="24"/>
        </w:rPr>
        <w:t>等保测评前对模拟黑客攻击方式对系统进行渗透测试，深入发现安全脆弱性和风险问题。</w:t>
      </w:r>
    </w:p>
    <w:p>
      <w:pPr>
        <w:pStyle w:val="null3"/>
        <w:spacing w:before="150" w:after="150"/>
        <w:ind w:firstLine="480"/>
      </w:pPr>
      <w:r>
        <w:rPr>
          <w:rFonts w:ascii="宋体" w:hAnsi="宋体" w:cs="宋体" w:eastAsia="宋体"/>
          <w:sz w:val="24"/>
        </w:rPr>
        <w:t>【</w:t>
      </w:r>
      <w:r>
        <w:rPr>
          <w:rFonts w:ascii="宋体" w:hAnsi="宋体" w:cs="宋体" w:eastAsia="宋体"/>
          <w:sz w:val="24"/>
        </w:rPr>
        <w:t>▲评审指标1</w:t>
      </w:r>
      <w:r>
        <w:rPr>
          <w:rFonts w:ascii="宋体" w:hAnsi="宋体" w:cs="宋体" w:eastAsia="宋体"/>
          <w:sz w:val="24"/>
        </w:rPr>
        <w:t>8</w:t>
      </w:r>
      <w:r>
        <w:rPr>
          <w:rFonts w:ascii="宋体" w:hAnsi="宋体" w:cs="宋体" w:eastAsia="宋体"/>
          <w:sz w:val="24"/>
        </w:rPr>
        <w:t>】（</w:t>
      </w:r>
      <w:r>
        <w:rPr>
          <w:rFonts w:ascii="宋体" w:hAnsi="宋体" w:cs="宋体" w:eastAsia="宋体"/>
          <w:sz w:val="24"/>
        </w:rPr>
        <w:t>4）安全整改加固服务</w:t>
      </w:r>
    </w:p>
    <w:p>
      <w:pPr>
        <w:pStyle w:val="null3"/>
        <w:spacing w:before="150" w:after="150"/>
        <w:ind w:firstLine="480"/>
      </w:pPr>
      <w:r>
        <w:rPr>
          <w:rFonts w:ascii="宋体" w:hAnsi="宋体" w:cs="宋体" w:eastAsia="宋体"/>
          <w:sz w:val="24"/>
        </w:rPr>
        <w:t>根据等级保护基本要求以及风险分析结果，派遣专业工程师到现场提供专业的系统安全加固建议和整改服务：</w:t>
      </w:r>
    </w:p>
    <w:p>
      <w:pPr>
        <w:pStyle w:val="null3"/>
        <w:spacing w:before="150" w:after="150"/>
        <w:ind w:firstLine="480"/>
      </w:pPr>
      <w:r>
        <w:rPr>
          <w:rFonts w:ascii="宋体" w:hAnsi="宋体" w:cs="宋体" w:eastAsia="宋体"/>
          <w:sz w:val="24"/>
        </w:rPr>
        <w:t>根据等级保护的要求，辅导安全防护策略优化，满足等保要求；</w:t>
      </w:r>
    </w:p>
    <w:p>
      <w:pPr>
        <w:pStyle w:val="null3"/>
        <w:spacing w:before="150" w:after="150"/>
        <w:ind w:firstLine="480"/>
      </w:pPr>
      <w:r>
        <w:rPr>
          <w:rFonts w:ascii="宋体" w:hAnsi="宋体" w:cs="宋体" w:eastAsia="宋体"/>
          <w:sz w:val="24"/>
        </w:rPr>
        <w:t>根据差距评估和测试的结果，协助服务器病毒检查与清理；</w:t>
      </w:r>
    </w:p>
    <w:p>
      <w:pPr>
        <w:pStyle w:val="null3"/>
        <w:spacing w:before="150" w:after="150"/>
        <w:ind w:firstLine="480"/>
      </w:pPr>
      <w:r>
        <w:rPr>
          <w:rFonts w:ascii="宋体" w:hAnsi="宋体" w:cs="宋体" w:eastAsia="宋体"/>
          <w:sz w:val="24"/>
        </w:rPr>
        <w:t>针对风险分析与差距评估的结果，实施安全策略优化辅导，提供网络、主机、数据库、应用等安全加固建议、整改服务和备机服务等；</w:t>
      </w:r>
    </w:p>
    <w:p>
      <w:pPr>
        <w:pStyle w:val="null3"/>
        <w:spacing w:before="150" w:after="150"/>
        <w:ind w:firstLine="480"/>
      </w:pPr>
      <w:r>
        <w:rPr>
          <w:rFonts w:ascii="宋体" w:hAnsi="宋体" w:cs="宋体" w:eastAsia="宋体"/>
          <w:sz w:val="24"/>
        </w:rPr>
        <w:t>加固完成后，派遣专业工程师到现场针对加固前后的系统脆弱性进行复查，复查手段包括但不限于协议分析、漏洞扫描、漏洞验证以及配置核查等方法。</w:t>
      </w:r>
    </w:p>
    <w:p>
      <w:pPr>
        <w:pStyle w:val="null3"/>
        <w:spacing w:before="150" w:after="150"/>
        <w:ind w:firstLine="480"/>
      </w:pPr>
      <w:r>
        <w:rPr>
          <w:rFonts w:ascii="宋体" w:hAnsi="宋体" w:cs="宋体" w:eastAsia="宋体"/>
          <w:sz w:val="24"/>
        </w:rPr>
        <w:t>【</w:t>
      </w:r>
      <w:r>
        <w:rPr>
          <w:rFonts w:ascii="宋体" w:hAnsi="宋体" w:cs="宋体" w:eastAsia="宋体"/>
          <w:sz w:val="24"/>
        </w:rPr>
        <w:t>▲评审指标</w:t>
      </w:r>
      <w:r>
        <w:rPr>
          <w:rFonts w:ascii="宋体" w:hAnsi="宋体" w:cs="宋体" w:eastAsia="宋体"/>
          <w:sz w:val="24"/>
        </w:rPr>
        <w:t>19</w:t>
      </w:r>
      <w:r>
        <w:rPr>
          <w:rFonts w:ascii="宋体" w:hAnsi="宋体" w:cs="宋体" w:eastAsia="宋体"/>
          <w:sz w:val="24"/>
        </w:rPr>
        <w:t>】（</w:t>
      </w:r>
      <w:r>
        <w:rPr>
          <w:rFonts w:ascii="宋体" w:hAnsi="宋体" w:cs="宋体" w:eastAsia="宋体"/>
          <w:sz w:val="24"/>
        </w:rPr>
        <w:t>5）管理制度辅助建设服务</w:t>
      </w:r>
    </w:p>
    <w:p>
      <w:pPr>
        <w:pStyle w:val="null3"/>
        <w:spacing w:before="150" w:after="150"/>
        <w:ind w:firstLine="480"/>
      </w:pPr>
      <w:r>
        <w:rPr>
          <w:rFonts w:ascii="宋体" w:hAnsi="宋体" w:cs="宋体" w:eastAsia="宋体"/>
          <w:sz w:val="24"/>
        </w:rPr>
        <w:t>协助我厅对安全管理制度进行优化，按照等级保护管理部分的标准，从安全管理制度、安全管理机构、人员安全管理、系统建设管理、系统运维管理等</w:t>
      </w:r>
      <w:r>
        <w:rPr>
          <w:rFonts w:ascii="宋体" w:hAnsi="宋体" w:cs="宋体" w:eastAsia="宋体"/>
          <w:sz w:val="24"/>
        </w:rPr>
        <w:t>5个方面帮助我厅补充及完善等级保护要求的管理体系建设中涉及到的制度文档，以及相关记录的完善。包括但不限于信息安全工作职责，信息安全监督、检查机制；辅助客户编写方针、制度、各类记录表格模板在内的三层结构的安全管理制度，达到等级保护测评要求。</w:t>
      </w:r>
    </w:p>
    <w:p>
      <w:pPr>
        <w:pStyle w:val="null3"/>
        <w:spacing w:before="150" w:after="150"/>
        <w:ind w:firstLine="480"/>
      </w:pPr>
      <w:r>
        <w:rPr>
          <w:rFonts w:ascii="宋体" w:hAnsi="宋体" w:cs="宋体" w:eastAsia="宋体"/>
          <w:sz w:val="24"/>
        </w:rPr>
        <w:t>【</w:t>
      </w:r>
      <w:r>
        <w:rPr>
          <w:rFonts w:ascii="宋体" w:hAnsi="宋体" w:cs="宋体" w:eastAsia="宋体"/>
          <w:sz w:val="24"/>
        </w:rPr>
        <w:t>▲</w:t>
      </w:r>
      <w:r>
        <w:rPr>
          <w:rFonts w:ascii="宋体" w:hAnsi="宋体" w:cs="宋体" w:eastAsia="宋体"/>
          <w:sz w:val="24"/>
        </w:rPr>
        <w:t>评审指标</w:t>
      </w:r>
      <w:r>
        <w:rPr>
          <w:rFonts w:ascii="宋体" w:hAnsi="宋体" w:cs="宋体" w:eastAsia="宋体"/>
          <w:sz w:val="24"/>
        </w:rPr>
        <w:t>2</w:t>
      </w:r>
      <w:r>
        <w:rPr>
          <w:rFonts w:ascii="宋体" w:hAnsi="宋体" w:cs="宋体" w:eastAsia="宋体"/>
          <w:sz w:val="24"/>
        </w:rPr>
        <w:t>0</w:t>
      </w:r>
      <w:r>
        <w:rPr>
          <w:rFonts w:ascii="宋体" w:hAnsi="宋体" w:cs="宋体" w:eastAsia="宋体"/>
          <w:sz w:val="24"/>
        </w:rPr>
        <w:t>】（</w:t>
      </w:r>
      <w:r>
        <w:rPr>
          <w:rFonts w:ascii="宋体" w:hAnsi="宋体" w:cs="宋体" w:eastAsia="宋体"/>
          <w:sz w:val="24"/>
        </w:rPr>
        <w:t>6）等保复测评辅助服务</w:t>
      </w:r>
    </w:p>
    <w:p>
      <w:pPr>
        <w:pStyle w:val="null3"/>
        <w:spacing w:before="150" w:after="150"/>
        <w:ind w:firstLine="480"/>
      </w:pPr>
      <w:r>
        <w:rPr>
          <w:rFonts w:ascii="宋体" w:hAnsi="宋体" w:cs="宋体" w:eastAsia="宋体"/>
          <w:sz w:val="24"/>
        </w:rPr>
        <w:t>在测评阶段协助准备测评材料，配合开展等级测评工作，组织测评整改，并辅助客户顺利通过等保测评获得测评报告。</w:t>
      </w:r>
    </w:p>
    <w:p>
      <w:pPr>
        <w:pStyle w:val="null3"/>
        <w:spacing w:before="150" w:after="150"/>
        <w:ind w:firstLine="480"/>
      </w:pPr>
      <w:r>
        <w:rPr>
          <w:rFonts w:ascii="宋体" w:hAnsi="宋体" w:cs="宋体" w:eastAsia="宋体"/>
          <w:sz w:val="24"/>
        </w:rPr>
        <w:t>2.2.3安全服务</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1</w:t>
      </w:r>
      <w:r>
        <w:rPr>
          <w:rFonts w:ascii="宋体" w:hAnsi="宋体" w:cs="宋体" w:eastAsia="宋体"/>
          <w:sz w:val="24"/>
        </w:rPr>
        <w:t>】（</w:t>
      </w:r>
      <w:r>
        <w:rPr>
          <w:rFonts w:ascii="宋体" w:hAnsi="宋体" w:cs="宋体" w:eastAsia="宋体"/>
          <w:sz w:val="24"/>
        </w:rPr>
        <w:t>1）安全检测服务</w:t>
      </w:r>
    </w:p>
    <w:p>
      <w:pPr>
        <w:pStyle w:val="null3"/>
        <w:spacing w:before="150" w:after="150"/>
        <w:ind w:firstLine="480"/>
      </w:pPr>
      <w:r>
        <w:rPr>
          <w:rFonts w:ascii="宋体" w:hAnsi="宋体" w:cs="宋体" w:eastAsia="宋体"/>
          <w:sz w:val="24"/>
        </w:rPr>
        <w:t>采用自动化检测工具与平台进行全面检测应用程序的安全性（扫描所使用软、硬件由供应商提供），安排专业攻防人员挖掘程序中存在的漏洞和所面临的威胁；</w:t>
      </w:r>
    </w:p>
    <w:p>
      <w:pPr>
        <w:pStyle w:val="null3"/>
        <w:spacing w:before="150" w:after="150"/>
        <w:ind w:firstLine="480"/>
      </w:pPr>
      <w:r>
        <w:rPr>
          <w:rFonts w:ascii="宋体" w:hAnsi="宋体" w:cs="宋体" w:eastAsia="宋体"/>
          <w:sz w:val="24"/>
        </w:rPr>
        <w:t>安全专家对发现的安全漏洞进行人工验证。</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2</w:t>
      </w:r>
      <w:r>
        <w:rPr>
          <w:rFonts w:ascii="宋体" w:hAnsi="宋体" w:cs="宋体" w:eastAsia="宋体"/>
          <w:sz w:val="24"/>
        </w:rPr>
        <w:t>】（</w:t>
      </w:r>
      <w:r>
        <w:rPr>
          <w:rFonts w:ascii="宋体" w:hAnsi="宋体" w:cs="宋体" w:eastAsia="宋体"/>
          <w:sz w:val="24"/>
        </w:rPr>
        <w:t>2</w:t>
      </w:r>
      <w:r>
        <w:rPr>
          <w:rFonts w:ascii="宋体" w:hAnsi="宋体" w:cs="宋体" w:eastAsia="宋体"/>
          <w:sz w:val="24"/>
        </w:rPr>
        <w:t>）安全评估服务</w:t>
      </w:r>
    </w:p>
    <w:p>
      <w:pPr>
        <w:pStyle w:val="null3"/>
        <w:spacing w:before="150" w:after="150"/>
        <w:ind w:firstLine="480"/>
      </w:pPr>
      <w:r>
        <w:rPr>
          <w:rFonts w:ascii="宋体" w:hAnsi="宋体" w:cs="宋体" w:eastAsia="宋体"/>
          <w:sz w:val="24"/>
        </w:rPr>
        <w:t>对服务器进行远程端口等扫描，测试服务器对外的暴露程度。</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3</w:t>
      </w:r>
      <w:r>
        <w:rPr>
          <w:rFonts w:ascii="宋体" w:hAnsi="宋体" w:cs="宋体" w:eastAsia="宋体"/>
          <w:sz w:val="24"/>
        </w:rPr>
        <w:t>】（</w:t>
      </w:r>
      <w:r>
        <w:rPr>
          <w:rFonts w:ascii="宋体" w:hAnsi="宋体" w:cs="宋体" w:eastAsia="宋体"/>
          <w:sz w:val="24"/>
        </w:rPr>
        <w:t>3</w:t>
      </w:r>
      <w:r>
        <w:rPr>
          <w:rFonts w:ascii="宋体" w:hAnsi="宋体" w:cs="宋体" w:eastAsia="宋体"/>
          <w:sz w:val="24"/>
        </w:rPr>
        <w:t>）安全加固服务</w:t>
      </w:r>
    </w:p>
    <w:p>
      <w:pPr>
        <w:pStyle w:val="null3"/>
        <w:spacing w:before="150" w:after="150"/>
        <w:ind w:firstLine="480"/>
      </w:pPr>
      <w:r>
        <w:rPr>
          <w:rFonts w:ascii="宋体" w:hAnsi="宋体" w:cs="宋体" w:eastAsia="宋体"/>
          <w:sz w:val="24"/>
        </w:rPr>
        <w:t>根据安全检测服务、安全评估服务的结果，提供安全加固建议。</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4</w:t>
      </w:r>
      <w:r>
        <w:rPr>
          <w:rFonts w:ascii="宋体" w:hAnsi="宋体" w:cs="宋体" w:eastAsia="宋体"/>
          <w:sz w:val="24"/>
        </w:rPr>
        <w:t>】（</w:t>
      </w:r>
      <w:r>
        <w:rPr>
          <w:rFonts w:ascii="宋体" w:hAnsi="宋体" w:cs="宋体" w:eastAsia="宋体"/>
          <w:sz w:val="24"/>
        </w:rPr>
        <w:t>4</w:t>
      </w:r>
      <w:r>
        <w:rPr>
          <w:rFonts w:ascii="宋体" w:hAnsi="宋体" w:cs="宋体" w:eastAsia="宋体"/>
          <w:sz w:val="24"/>
        </w:rPr>
        <w:t>）安全应急响应服务</w:t>
      </w:r>
    </w:p>
    <w:p>
      <w:pPr>
        <w:pStyle w:val="null3"/>
        <w:spacing w:before="150" w:after="150"/>
        <w:ind w:firstLine="480"/>
      </w:pPr>
      <w:r>
        <w:rPr>
          <w:rFonts w:ascii="宋体" w:hAnsi="宋体" w:cs="宋体" w:eastAsia="宋体"/>
          <w:sz w:val="24"/>
        </w:rPr>
        <w:t>1）远程安全咨询服务</w:t>
      </w:r>
    </w:p>
    <w:p>
      <w:pPr>
        <w:pStyle w:val="null3"/>
        <w:spacing w:before="150" w:after="150"/>
        <w:ind w:firstLine="480"/>
      </w:pPr>
      <w:r>
        <w:rPr>
          <w:rFonts w:ascii="宋体" w:hAnsi="宋体" w:cs="宋体" w:eastAsia="宋体"/>
          <w:sz w:val="24"/>
        </w:rPr>
        <w:t>故障时能立即以电话咨询或远程维护方式与承担服务单位联系，供应商应立即给予技术协助，提供</w:t>
      </w:r>
      <w:r>
        <w:rPr>
          <w:rFonts w:ascii="宋体" w:hAnsi="宋体" w:cs="宋体" w:eastAsia="宋体"/>
          <w:sz w:val="24"/>
        </w:rPr>
        <w:t>7×24小时服务支持。</w:t>
      </w:r>
    </w:p>
    <w:p>
      <w:pPr>
        <w:pStyle w:val="null3"/>
        <w:spacing w:before="150" w:after="150"/>
        <w:ind w:firstLine="480"/>
      </w:pPr>
      <w:r>
        <w:rPr>
          <w:rFonts w:ascii="宋体" w:hAnsi="宋体" w:cs="宋体" w:eastAsia="宋体"/>
          <w:sz w:val="24"/>
        </w:rPr>
        <w:t>2）现场应急响应服务</w:t>
      </w:r>
    </w:p>
    <w:p>
      <w:pPr>
        <w:pStyle w:val="null3"/>
        <w:spacing w:before="150" w:after="150"/>
        <w:ind w:firstLine="480"/>
      </w:pPr>
      <w:r>
        <w:rPr>
          <w:rFonts w:ascii="宋体" w:hAnsi="宋体" w:cs="宋体" w:eastAsia="宋体"/>
          <w:sz w:val="24"/>
        </w:rPr>
        <w:t>当单位网络和信息系统遇到黑客攻击或网页篡改等恶性事件，并且远程支持无法解决时，要求</w:t>
      </w:r>
      <w:r>
        <w:rPr>
          <w:rFonts w:ascii="宋体" w:hAnsi="宋体" w:cs="宋体" w:eastAsia="宋体"/>
          <w:sz w:val="24"/>
        </w:rPr>
        <w:t>2小时内到达现场，实施最有效的紧急救援及恢复补救方案。</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5</w:t>
      </w:r>
      <w:r>
        <w:rPr>
          <w:rFonts w:ascii="宋体" w:hAnsi="宋体" w:cs="宋体" w:eastAsia="宋体"/>
          <w:sz w:val="24"/>
        </w:rPr>
        <w:t>】</w:t>
      </w:r>
      <w:r>
        <w:rPr>
          <w:rFonts w:ascii="宋体" w:hAnsi="宋体" w:cs="宋体" w:eastAsia="宋体"/>
          <w:sz w:val="24"/>
        </w:rPr>
        <w:t>(</w:t>
      </w:r>
      <w:r>
        <w:rPr>
          <w:rFonts w:ascii="宋体" w:hAnsi="宋体" w:cs="宋体" w:eastAsia="宋体"/>
          <w:sz w:val="24"/>
        </w:rPr>
        <w:t>5</w:t>
      </w:r>
      <w:r>
        <w:rPr>
          <w:rFonts w:ascii="宋体" w:hAnsi="宋体" w:cs="宋体" w:eastAsia="宋体"/>
          <w:sz w:val="24"/>
        </w:rPr>
        <w:t>) 安全检查协助服务</w:t>
      </w:r>
    </w:p>
    <w:p>
      <w:pPr>
        <w:pStyle w:val="null3"/>
        <w:spacing w:before="150" w:after="150"/>
        <w:ind w:firstLine="480"/>
      </w:pPr>
      <w:r>
        <w:rPr>
          <w:rFonts w:ascii="宋体" w:hAnsi="宋体" w:cs="宋体" w:eastAsia="宋体"/>
          <w:sz w:val="24"/>
        </w:rPr>
        <w:t>在上级监管部门安全检查期间，应按要求进行专门的全面安全检查协助服务和保障协助。</w:t>
      </w:r>
    </w:p>
    <w:p>
      <w:pPr>
        <w:pStyle w:val="null3"/>
        <w:spacing w:before="150" w:after="150"/>
        <w:ind w:firstLine="480"/>
      </w:pPr>
      <w:r>
        <w:rPr>
          <w:rFonts w:ascii="宋体" w:hAnsi="宋体" w:cs="宋体" w:eastAsia="宋体"/>
          <w:sz w:val="24"/>
        </w:rPr>
        <w:t>【评审指标</w:t>
      </w:r>
      <w:r>
        <w:rPr>
          <w:rFonts w:ascii="宋体" w:hAnsi="宋体" w:cs="宋体" w:eastAsia="宋体"/>
          <w:sz w:val="24"/>
        </w:rPr>
        <w:t>2</w:t>
      </w:r>
      <w:r>
        <w:rPr>
          <w:rFonts w:ascii="宋体" w:hAnsi="宋体" w:cs="宋体" w:eastAsia="宋体"/>
          <w:sz w:val="24"/>
        </w:rPr>
        <w:t>6</w:t>
      </w:r>
      <w:r>
        <w:rPr>
          <w:rFonts w:ascii="宋体" w:hAnsi="宋体" w:cs="宋体" w:eastAsia="宋体"/>
          <w:sz w:val="24"/>
        </w:rPr>
        <w:t>】</w:t>
      </w:r>
      <w:r>
        <w:rPr>
          <w:rFonts w:ascii="宋体" w:hAnsi="宋体" w:cs="宋体" w:eastAsia="宋体"/>
          <w:sz w:val="24"/>
        </w:rPr>
        <w:t>(</w:t>
      </w:r>
      <w:r>
        <w:rPr>
          <w:rFonts w:ascii="宋体" w:hAnsi="宋体" w:cs="宋体" w:eastAsia="宋体"/>
          <w:sz w:val="24"/>
        </w:rPr>
        <w:t>6</w:t>
      </w:r>
      <w:r>
        <w:rPr>
          <w:rFonts w:ascii="宋体" w:hAnsi="宋体" w:cs="宋体" w:eastAsia="宋体"/>
          <w:sz w:val="24"/>
        </w:rPr>
        <w:t>) 安全通告预警服务</w:t>
      </w:r>
    </w:p>
    <w:p>
      <w:pPr>
        <w:pStyle w:val="null3"/>
        <w:spacing w:before="150" w:after="150"/>
        <w:ind w:firstLine="480"/>
      </w:pPr>
      <w:r>
        <w:rPr>
          <w:rFonts w:ascii="宋体" w:hAnsi="宋体" w:cs="宋体" w:eastAsia="宋体"/>
          <w:sz w:val="24"/>
        </w:rPr>
        <w:t>跟踪国内外主要的漏洞信息发布平台，追踪最新的漏洞信息。</w:t>
      </w:r>
    </w:p>
    <w:p>
      <w:pPr>
        <w:pStyle w:val="null3"/>
        <w:spacing w:before="150" w:after="150"/>
        <w:ind w:firstLine="482"/>
      </w:pPr>
      <w:r>
        <w:rPr>
          <w:rFonts w:ascii="宋体" w:hAnsi="宋体" w:cs="宋体" w:eastAsia="宋体"/>
          <w:b/>
          <w:sz w:val="24"/>
        </w:rPr>
        <w:t>3、项目服务其它要求</w:t>
      </w:r>
    </w:p>
    <w:p>
      <w:pPr>
        <w:pStyle w:val="null3"/>
        <w:spacing w:before="150" w:after="150"/>
        <w:ind w:firstLine="480"/>
      </w:pPr>
      <w:r>
        <w:rPr>
          <w:rFonts w:ascii="宋体" w:hAnsi="宋体" w:cs="宋体" w:eastAsia="宋体"/>
          <w:sz w:val="24"/>
        </w:rPr>
        <w:t>【评审指标</w:t>
      </w:r>
      <w:r>
        <w:rPr>
          <w:rFonts w:ascii="宋体" w:hAnsi="宋体" w:cs="宋体" w:eastAsia="宋体"/>
          <w:sz w:val="24"/>
        </w:rPr>
        <w:t>2</w:t>
      </w:r>
      <w:r>
        <w:rPr>
          <w:rFonts w:ascii="宋体" w:hAnsi="宋体" w:cs="宋体" w:eastAsia="宋体"/>
          <w:sz w:val="24"/>
        </w:rPr>
        <w:t>7</w:t>
      </w:r>
      <w:r>
        <w:rPr>
          <w:rFonts w:ascii="宋体" w:hAnsi="宋体" w:cs="宋体" w:eastAsia="宋体"/>
          <w:sz w:val="24"/>
        </w:rPr>
        <w:t>】（</w:t>
      </w:r>
      <w:r>
        <w:rPr>
          <w:rFonts w:ascii="宋体" w:hAnsi="宋体" w:cs="宋体" w:eastAsia="宋体"/>
          <w:sz w:val="24"/>
        </w:rPr>
        <w:t>1）人员要求</w:t>
      </w:r>
    </w:p>
    <w:p>
      <w:pPr>
        <w:pStyle w:val="null3"/>
        <w:spacing w:before="150" w:after="150"/>
        <w:ind w:firstLine="480"/>
      </w:pPr>
      <w:r>
        <w:rPr>
          <w:rFonts w:ascii="宋体" w:hAnsi="宋体" w:cs="宋体" w:eastAsia="宋体"/>
          <w:sz w:val="24"/>
        </w:rPr>
        <w:t>为保证服务质量，本项目至少需投入</w:t>
      </w:r>
      <w:r>
        <w:rPr>
          <w:rFonts w:ascii="宋体" w:hAnsi="宋体" w:cs="宋体" w:eastAsia="宋体"/>
          <w:sz w:val="24"/>
        </w:rPr>
        <w:t>1名高级测评师，3名中级测评师，2名初级测评师，1名网络工程师。提供项目执行人员清单，格式自拟。</w:t>
      </w:r>
    </w:p>
    <w:p>
      <w:pPr>
        <w:pStyle w:val="null3"/>
        <w:spacing w:before="150" w:after="150"/>
        <w:ind w:firstLine="480"/>
      </w:pPr>
      <w:r>
        <w:rPr>
          <w:rFonts w:ascii="宋体" w:hAnsi="宋体" w:cs="宋体" w:eastAsia="宋体"/>
          <w:sz w:val="24"/>
        </w:rPr>
        <w:t>（</w:t>
      </w:r>
      <w:r>
        <w:rPr>
          <w:rFonts w:ascii="宋体" w:hAnsi="宋体" w:cs="宋体" w:eastAsia="宋体"/>
          <w:sz w:val="24"/>
        </w:rPr>
        <w:t>2）</w:t>
      </w:r>
      <w:r>
        <w:rPr>
          <w:rFonts w:ascii="宋体" w:hAnsi="宋体" w:cs="宋体" w:eastAsia="宋体"/>
          <w:b/>
          <w:sz w:val="24"/>
        </w:rPr>
        <w:t>供应商须书面承诺：</w:t>
      </w:r>
    </w:p>
    <w:p>
      <w:pPr>
        <w:pStyle w:val="null3"/>
        <w:spacing w:before="150" w:after="150"/>
        <w:ind w:firstLine="480"/>
      </w:pPr>
      <w:r>
        <w:rPr>
          <w:rFonts w:ascii="宋体" w:hAnsi="宋体" w:cs="宋体" w:eastAsia="宋体"/>
          <w:sz w:val="24"/>
        </w:rPr>
        <w:t>【</w:t>
      </w:r>
      <w:r>
        <w:rPr>
          <w:rFonts w:ascii="宋体" w:hAnsi="宋体" w:cs="宋体" w:eastAsia="宋体"/>
          <w:sz w:val="24"/>
        </w:rPr>
        <w:t>▲评审指标2</w:t>
      </w:r>
      <w:r>
        <w:rPr>
          <w:rFonts w:ascii="宋体" w:hAnsi="宋体" w:cs="宋体" w:eastAsia="宋体"/>
          <w:sz w:val="24"/>
        </w:rPr>
        <w:t>8</w:t>
      </w:r>
      <w:r>
        <w:rPr>
          <w:rFonts w:ascii="宋体" w:hAnsi="宋体" w:cs="宋体" w:eastAsia="宋体"/>
          <w:sz w:val="24"/>
        </w:rPr>
        <w:t>】供应商所提供《信息安全等级保护等级测评报告》需获得福建省公安机关网安部门的认可，确保采购人顺利完成等保工作。</w:t>
      </w:r>
      <w:r>
        <w:rPr>
          <w:rFonts w:ascii="宋体" w:hAnsi="宋体" w:cs="宋体" w:eastAsia="宋体"/>
          <w:b/>
          <w:sz w:val="24"/>
        </w:rPr>
        <w:t>提供承诺函，格式自拟。</w:t>
      </w:r>
    </w:p>
    <w:p>
      <w:pPr>
        <w:pStyle w:val="null3"/>
        <w:spacing w:before="150" w:after="150"/>
        <w:ind w:firstLine="480"/>
      </w:pPr>
      <w:r>
        <w:rPr>
          <w:rFonts w:ascii="宋体" w:hAnsi="宋体" w:cs="宋体" w:eastAsia="宋体"/>
          <w:sz w:val="24"/>
        </w:rPr>
        <w:t>（</w:t>
      </w:r>
      <w:r>
        <w:rPr>
          <w:rFonts w:ascii="宋体" w:hAnsi="宋体" w:cs="宋体" w:eastAsia="宋体"/>
          <w:sz w:val="24"/>
        </w:rPr>
        <w:t>3）</w:t>
      </w:r>
      <w:r>
        <w:rPr>
          <w:rFonts w:ascii="宋体" w:hAnsi="宋体" w:cs="宋体" w:eastAsia="宋体"/>
          <w:b/>
          <w:sz w:val="24"/>
        </w:rPr>
        <w:t>供应商须书面承诺：</w:t>
      </w:r>
    </w:p>
    <w:p>
      <w:pPr>
        <w:pStyle w:val="null3"/>
        <w:spacing w:before="150" w:after="150"/>
        <w:ind w:firstLine="480"/>
      </w:pPr>
      <w:r>
        <w:rPr>
          <w:rFonts w:ascii="宋体" w:hAnsi="宋体" w:cs="宋体" w:eastAsia="宋体"/>
          <w:sz w:val="24"/>
        </w:rPr>
        <w:t>【</w:t>
      </w:r>
      <w:r>
        <w:rPr>
          <w:rFonts w:ascii="宋体" w:hAnsi="宋体" w:cs="宋体" w:eastAsia="宋体"/>
          <w:sz w:val="24"/>
        </w:rPr>
        <w:t>★</w:t>
      </w:r>
      <w:r>
        <w:rPr>
          <w:rFonts w:ascii="宋体" w:hAnsi="宋体" w:cs="宋体" w:eastAsia="宋体"/>
          <w:sz w:val="24"/>
        </w:rPr>
        <w:t>评审指标</w:t>
      </w:r>
      <w:r>
        <w:rPr>
          <w:rFonts w:ascii="宋体" w:hAnsi="宋体" w:cs="宋体" w:eastAsia="宋体"/>
          <w:sz w:val="24"/>
        </w:rPr>
        <w:t>29</w:t>
      </w:r>
      <w:r>
        <w:rPr>
          <w:rFonts w:ascii="宋体" w:hAnsi="宋体" w:cs="宋体" w:eastAsia="宋体"/>
          <w:sz w:val="24"/>
        </w:rPr>
        <w:t>】与采购人签署保密协议，工作人员须与单位签署《保密承诺书》，对知悉的事项及信息予以保密，所有资料、技术文档妥善保管，不得遗失、转借、复印，不得以任何形式向第三方透露；所有解决方案和采集汇总后的数据严禁通过互联网等公共信息网络、普通邮政进行传递，严禁在连接互联网计算机上存储、处理。</w:t>
      </w:r>
      <w:r>
        <w:rPr>
          <w:rFonts w:ascii="宋体" w:hAnsi="宋体" w:cs="宋体" w:eastAsia="宋体"/>
          <w:b/>
          <w:sz w:val="24"/>
        </w:rPr>
        <w:t>提供承诺函，格式自拟。</w:t>
      </w:r>
    </w:p>
    <w:p>
      <w:pPr>
        <w:pStyle w:val="null3"/>
        <w:spacing w:before="150" w:after="150"/>
        <w:ind w:firstLine="480"/>
      </w:pPr>
      <w:r>
        <w:rPr>
          <w:rFonts w:ascii="宋体" w:hAnsi="宋体" w:cs="宋体" w:eastAsia="宋体"/>
          <w:sz w:val="24"/>
        </w:rPr>
        <w:t>（</w:t>
      </w:r>
      <w:r>
        <w:rPr>
          <w:rFonts w:ascii="宋体" w:hAnsi="宋体" w:cs="宋体" w:eastAsia="宋体"/>
          <w:sz w:val="24"/>
        </w:rPr>
        <w:t>4）</w:t>
      </w:r>
      <w:r>
        <w:rPr>
          <w:rFonts w:ascii="宋体" w:hAnsi="宋体" w:cs="宋体" w:eastAsia="宋体"/>
          <w:b/>
          <w:sz w:val="24"/>
        </w:rPr>
        <w:t>供应商须书面承诺：</w:t>
      </w:r>
    </w:p>
    <w:p>
      <w:pPr>
        <w:pStyle w:val="null3"/>
        <w:spacing w:before="150" w:after="150"/>
        <w:ind w:firstLine="480"/>
      </w:pPr>
      <w:r>
        <w:rPr>
          <w:rFonts w:ascii="宋体" w:hAnsi="宋体" w:cs="宋体" w:eastAsia="宋体"/>
          <w:sz w:val="24"/>
        </w:rPr>
        <w:t>【</w:t>
      </w:r>
      <w:r>
        <w:rPr>
          <w:rFonts w:ascii="宋体" w:hAnsi="宋体" w:cs="宋体" w:eastAsia="宋体"/>
          <w:sz w:val="24"/>
        </w:rPr>
        <w:t>★</w:t>
      </w:r>
      <w:r>
        <w:rPr>
          <w:rFonts w:ascii="宋体" w:hAnsi="宋体" w:cs="宋体" w:eastAsia="宋体"/>
          <w:sz w:val="24"/>
        </w:rPr>
        <w:t>评审指标</w:t>
      </w:r>
      <w:r>
        <w:rPr>
          <w:rFonts w:ascii="宋体" w:hAnsi="宋体" w:cs="宋体" w:eastAsia="宋体"/>
          <w:sz w:val="24"/>
        </w:rPr>
        <w:t>30</w:t>
      </w:r>
      <w:r>
        <w:rPr>
          <w:rFonts w:ascii="宋体" w:hAnsi="宋体" w:cs="宋体" w:eastAsia="宋体"/>
          <w:sz w:val="24"/>
        </w:rPr>
        <w:t>】严格遵循操作规程，承担服务工作质量责任，执行有关项目建设的法律、法规、规范、标准和制度，履行合同规定的义务和职责。</w:t>
      </w:r>
      <w:r>
        <w:rPr>
          <w:rFonts w:ascii="宋体" w:hAnsi="宋体" w:cs="宋体" w:eastAsia="宋体"/>
          <w:b/>
          <w:sz w:val="24"/>
        </w:rPr>
        <w:t>提供承诺函，格式自拟。</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采购单位指定地点</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 180 日</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采购人验收合格后。</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1、期次1，说明：按照磋商文件、响应文件及合同要求执行</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1、合同签订后，在收到成交人等额发票后，达到付款条件起30日内，支付合同总金额的50.00%</w:t>
            </w:r>
          </w:p>
          <w:p>
            <w:pPr>
              <w:pStyle w:val="null3"/>
            </w:pPr>
            <w:r>
              <w:rPr/>
              <w:t>2、项目完成后，在收到测评报告结论页及成交人提供的等额发票后，达到付款条件起30日内，支付合同总金额的50.00%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t>无</w:t>
      </w:r>
    </w:p>
    <w:p>
      <w:pPr>
        <w:pStyle w:val="null3"/>
        <w:jc w:val="left"/>
        <w:outlineLvl w:val="2"/>
      </w:pPr>
      <w:r>
        <w:rPr>
          <w:b/>
          <w:sz w:val="28"/>
        </w:rPr>
        <w:t>四、其他事项</w:t>
      </w:r>
    </w:p>
    <w:p>
      <w:pPr>
        <w:pStyle w:val="null3"/>
        <w:jc w:val="left"/>
      </w:pPr>
      <w:r>
        <w:rPr/>
        <w:t>1、供应商人应以包括产品所涉及的有关项目的所有费用进行报价，包括但不限于：设备和材料（含采购、交通、运输）、检测费用、安装、调试及试运行、验收、劳务、管理、劳保、维护、保险、利润、税款及政策性文件规定的各项应有费用及可合理推断的责任和义务。 2、请成交人按磋商文件规定及时与采购人签订政府采购合同。 3、本项目不允许成交人以任何名义和理由进行转包，如有发现，采购人有权单方终止合同，视为成交人违约，没收履约保证金（若有）。如履约保证金不能弥补成交人违约对采购人造成的损失的，成交人还需另行支付相应的赔偿。 4、本磋商文件未明确的其它约定事项或条款，待采购人与成交人签订合同时，由双方协商订立。</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