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福</w:t>
      </w:r>
      <w:bookmarkStart w:id="0" w:name="_GoBack"/>
      <w:r>
        <w:rPr>
          <w:rFonts w:hint="eastAsia" w:ascii="方正小标宋简体" w:hAnsi="方正小标宋简体" w:eastAsia="方正小标宋简体" w:cs="方正小标宋简体"/>
          <w:color w:val="000000"/>
          <w:sz w:val="36"/>
          <w:szCs w:val="36"/>
        </w:rPr>
        <w:t>建省支持社会组织参与民政服务专项资金管理办法</w:t>
      </w:r>
    </w:p>
    <w:bookmarkEnd w:id="0"/>
    <w:p>
      <w:pPr>
        <w:spacing w:line="700" w:lineRule="exact"/>
        <w:jc w:val="center"/>
        <w:rPr>
          <w:rFonts w:ascii="方正小标宋简体" w:hAnsi="方正小标宋简体" w:eastAsia="方正小标宋简体" w:cs="方正小标宋简体"/>
          <w:color w:val="000000"/>
          <w:sz w:val="36"/>
          <w:szCs w:val="36"/>
        </w:rPr>
      </w:pPr>
    </w:p>
    <w:p>
      <w:pPr>
        <w:jc w:val="center"/>
        <w:rPr>
          <w:rFonts w:ascii="黑体" w:eastAsia="黑体" w:cs="黑体"/>
          <w:color w:val="000000"/>
          <w:sz w:val="32"/>
          <w:szCs w:val="32"/>
        </w:rPr>
      </w:pPr>
      <w:r>
        <w:rPr>
          <w:rFonts w:hint="eastAsia" w:ascii="黑体" w:eastAsia="黑体" w:cs="黑体"/>
          <w:color w:val="000000"/>
          <w:sz w:val="32"/>
          <w:szCs w:val="32"/>
        </w:rPr>
        <w:t>第一章  总则</w:t>
      </w:r>
    </w:p>
    <w:p>
      <w:pPr>
        <w:rPr>
          <w:rFonts w:ascii="仿宋_GB2312" w:eastAsia="仿宋_GB2312" w:cs="仿宋_GB2312"/>
          <w:b/>
          <w:bCs/>
          <w:color w:val="000000"/>
          <w:sz w:val="32"/>
          <w:szCs w:val="32"/>
        </w:rPr>
      </w:pPr>
    </w:p>
    <w:p>
      <w:pPr>
        <w:ind w:firstLine="630" w:firstLineChars="196"/>
        <w:rPr>
          <w:rFonts w:ascii="仿宋_GB2312" w:eastAsia="仿宋_GB2312" w:cs="仿宋"/>
          <w:color w:val="000000"/>
          <w:sz w:val="32"/>
          <w:szCs w:val="32"/>
        </w:rPr>
      </w:pPr>
      <w:r>
        <w:rPr>
          <w:rFonts w:hint="eastAsia" w:ascii="仿宋_GB2312" w:eastAsia="仿宋_GB2312" w:cs="仿宋_GB2312"/>
          <w:b/>
          <w:bCs/>
          <w:color w:val="000000"/>
          <w:sz w:val="32"/>
          <w:szCs w:val="32"/>
        </w:rPr>
        <w:t xml:space="preserve">第一条 </w:t>
      </w:r>
      <w:r>
        <w:rPr>
          <w:rFonts w:hint="eastAsia" w:ascii="仿宋_GB2312" w:eastAsia="仿宋_GB2312" w:cs="仿宋"/>
          <w:color w:val="000000"/>
          <w:sz w:val="32"/>
          <w:szCs w:val="32"/>
        </w:rPr>
        <w:t>为加强和规范支持社会组织等社会力量参与民政服务专项资金使用管理，提高资金使用效益，根据</w:t>
      </w:r>
      <w:r>
        <w:rPr>
          <w:rFonts w:hint="eastAsia" w:ascii="仿宋_GB2312" w:hAnsi="仿宋_GB2312" w:eastAsia="仿宋_GB2312" w:cs="仿宋_GB2312"/>
          <w:color w:val="000000"/>
          <w:sz w:val="32"/>
          <w:szCs w:val="32"/>
        </w:rPr>
        <w:t>《福建省省级财政专项资金管理办法》</w:t>
      </w:r>
      <w:r>
        <w:rPr>
          <w:rFonts w:hint="eastAsia" w:ascii="仿宋_GB2312" w:eastAsia="仿宋_GB2312" w:cs="仿宋"/>
          <w:color w:val="000000"/>
          <w:sz w:val="32"/>
          <w:szCs w:val="32"/>
        </w:rPr>
        <w:t>以及省级财政预算资金管理有关规定，制定本办法。</w:t>
      </w:r>
    </w:p>
    <w:p>
      <w:pPr>
        <w:ind w:firstLine="630" w:firstLineChars="196"/>
        <w:rPr>
          <w:rFonts w:ascii="仿宋_GB2312" w:eastAsia="仿宋_GB2312" w:cs="仿宋"/>
          <w:color w:val="000000"/>
          <w:sz w:val="32"/>
          <w:szCs w:val="32"/>
        </w:rPr>
      </w:pPr>
      <w:r>
        <w:rPr>
          <w:rFonts w:hint="eastAsia" w:ascii="仿宋_GB2312" w:eastAsia="仿宋_GB2312" w:cs="仿宋"/>
          <w:b/>
          <w:bCs/>
          <w:color w:val="000000"/>
          <w:sz w:val="32"/>
          <w:szCs w:val="32"/>
        </w:rPr>
        <w:t>第二条</w:t>
      </w:r>
      <w:r>
        <w:rPr>
          <w:rFonts w:hint="eastAsia" w:ascii="仿宋_GB2312" w:eastAsia="仿宋_GB2312" w:cs="仿宋"/>
          <w:color w:val="000000"/>
          <w:sz w:val="32"/>
          <w:szCs w:val="32"/>
        </w:rPr>
        <w:t xml:space="preserve"> 本办法所称支持社会组织参与民政服务专项资金（以下简称专项资金）是指</w:t>
      </w:r>
      <w:r>
        <w:rPr>
          <w:rFonts w:hint="eastAsia" w:ascii="仿宋_GB2312" w:hAnsi="仿宋_GB2312" w:eastAsia="仿宋_GB2312" w:cs="仿宋_GB2312"/>
          <w:color w:val="000000"/>
          <w:sz w:val="32"/>
          <w:szCs w:val="32"/>
        </w:rPr>
        <w:t>从省级财政安排</w:t>
      </w:r>
      <w:r>
        <w:rPr>
          <w:rFonts w:hint="eastAsia" w:ascii="仿宋_GB2312" w:eastAsia="仿宋_GB2312" w:cs="仿宋"/>
          <w:color w:val="000000"/>
          <w:sz w:val="32"/>
          <w:szCs w:val="32"/>
        </w:rPr>
        <w:t>，用于支持社会组织等社会力量参与民政服务的专项资金。</w:t>
      </w:r>
    </w:p>
    <w:p>
      <w:pPr>
        <w:ind w:firstLine="642"/>
        <w:rPr>
          <w:rFonts w:ascii="仿宋_GB2312" w:eastAsia="仿宋_GB2312" w:cs="仿宋"/>
          <w:color w:val="000000"/>
          <w:sz w:val="32"/>
          <w:szCs w:val="32"/>
        </w:rPr>
      </w:pPr>
      <w:r>
        <w:rPr>
          <w:rFonts w:hint="eastAsia" w:ascii="仿宋_GB2312" w:eastAsia="仿宋_GB2312" w:cs="仿宋"/>
          <w:b/>
          <w:bCs/>
          <w:color w:val="000000"/>
          <w:sz w:val="32"/>
          <w:szCs w:val="32"/>
        </w:rPr>
        <w:t xml:space="preserve">第三条 </w:t>
      </w:r>
      <w:r>
        <w:rPr>
          <w:rFonts w:hint="eastAsia" w:ascii="仿宋_GB2312" w:eastAsia="仿宋_GB2312" w:cs="仿宋"/>
          <w:color w:val="000000"/>
          <w:sz w:val="32"/>
          <w:szCs w:val="32"/>
        </w:rPr>
        <w:t>专项资金由财政、民政部门按职责共同管理，省财政厅、省民政厅分别履行下列管理职责。</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一）省财政厅负责专项资金筹集、分配审核和拨付，包括：会同省民政厅建立健全专项资金管理制度；组织专项资金支出预算的编制、执行和绩效管理工作；组织专项资金执行期满或者被撤销后的清算、资金回收以及其他相关管理工作。</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二）省民政厅负责专项资金预算编制和执行，包括：会同省财政厅建立健全专项资金具体管理制度；按预算管理的要求，编制专项资金支出预算和资金分配计划；提出专项资金绩效目标，并按照确定的绩效目标对专项资金实施绩效监控和评价；监督专项资金的使用管理，以及执行期满或者被撤销专项资金的清算、资金回收以及其他相关管理工作。</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eastAsia="仿宋_GB2312" w:cs="仿宋"/>
          <w:b/>
          <w:bCs/>
          <w:color w:val="000000"/>
          <w:sz w:val="32"/>
          <w:szCs w:val="32"/>
        </w:rPr>
        <w:t xml:space="preserve">第四条 </w:t>
      </w:r>
      <w:r>
        <w:rPr>
          <w:rFonts w:hint="eastAsia" w:ascii="仿宋_GB2312" w:hAnsi="仿宋_GB2312" w:eastAsia="仿宋_GB2312" w:cs="仿宋_GB2312"/>
          <w:color w:val="000000"/>
          <w:sz w:val="32"/>
          <w:szCs w:val="32"/>
        </w:rPr>
        <w:t>专项资金使用单位主要职责：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（一）专项资金使用单位是资金使用和管理的责任主体，具体负责项目实施，按照相关规定加强资金使用管理，并对提报资料的真实性、完整性负责；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（二）负责项目预算审核把关，对项目资金专款专用、专账核算，建立项目资金使用管理的信息公开机制；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（三）负责及时提报有关项目财务预决算报告、项目绩效监控、自评报告等材料；</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（四）自觉接受审计、财政、民政等相关部门和纪检监察机关的监督检查；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（五）按照相关规定应当履行的其他职责。</w:t>
      </w:r>
    </w:p>
    <w:p>
      <w:pPr>
        <w:rPr>
          <w:rFonts w:ascii="仿宋_GB2312" w:eastAsia="仿宋_GB2312" w:cs="仿宋"/>
          <w:color w:val="000000"/>
          <w:sz w:val="32"/>
          <w:szCs w:val="32"/>
        </w:rPr>
      </w:pPr>
    </w:p>
    <w:p>
      <w:pPr>
        <w:jc w:val="center"/>
        <w:rPr>
          <w:rFonts w:ascii="黑体" w:eastAsia="黑体" w:cs="黑体"/>
          <w:color w:val="000000"/>
          <w:sz w:val="32"/>
          <w:szCs w:val="32"/>
        </w:rPr>
      </w:pPr>
      <w:r>
        <w:rPr>
          <w:rFonts w:hint="eastAsia" w:ascii="黑体" w:eastAsia="黑体" w:cs="黑体"/>
          <w:color w:val="000000"/>
          <w:sz w:val="32"/>
          <w:szCs w:val="32"/>
        </w:rPr>
        <w:t>第二章 使用范围</w:t>
      </w:r>
    </w:p>
    <w:p>
      <w:pPr>
        <w:jc w:val="center"/>
        <w:rPr>
          <w:rFonts w:ascii="黑体" w:eastAsia="黑体" w:cs="黑体"/>
          <w:color w:val="000000"/>
          <w:sz w:val="32"/>
          <w:szCs w:val="32"/>
        </w:rPr>
      </w:pP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第五条</w:t>
      </w:r>
      <w:r>
        <w:rPr>
          <w:rFonts w:hint="eastAsia" w:ascii="仿宋_GB2312" w:eastAsia="仿宋_GB2312" w:cs="仿宋"/>
          <w:color w:val="000000"/>
          <w:sz w:val="32"/>
          <w:szCs w:val="32"/>
        </w:rPr>
        <w:t xml:space="preserve">  专项资金用于通过政府购买服务等形式，支持社会组织等社会力量</w:t>
      </w:r>
      <w:r>
        <w:rPr>
          <w:rFonts w:hint="eastAsia" w:ascii="仿宋_GB2312" w:hAnsi="仿宋_GB2312" w:eastAsia="仿宋_GB2312" w:cs="仿宋_GB2312"/>
          <w:color w:val="000000"/>
          <w:sz w:val="32"/>
          <w:szCs w:val="32"/>
        </w:rPr>
        <w:t>在保障和改善民生、创新社会治理、促进慈善事业发展等方面参与实施民政领域项目，主要包括：</w:t>
      </w:r>
    </w:p>
    <w:p>
      <w:pPr>
        <w:numPr>
          <w:ilvl w:val="0"/>
          <w:numId w:val="1"/>
        </w:num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共服务类：是指民政部门向社会公众提供的，具有公益性服务性质的民政服务。包括支持慈善组织、社会工作服务机构等社会力量开展社会救助、为老养老、儿童关爱保护、社区治理、社区服务、公益慈善等领域服务项目。</w:t>
      </w:r>
    </w:p>
    <w:p>
      <w:pPr>
        <w:numPr>
          <w:ilvl w:val="0"/>
          <w:numId w:val="1"/>
        </w:num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辅助性服务：是指民政部门为保障运转及履行行政管理职能委托社会力量开展的服务。包括专业培训、项目督导和评估、质量认证、标准制定、宣传推广、课题研究和社会调查服务、社会组织培育孵化等。</w:t>
      </w:r>
    </w:p>
    <w:p>
      <w:pPr>
        <w:numPr>
          <w:ilvl w:val="0"/>
          <w:numId w:val="1"/>
        </w:num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其他适合社会力量参与的民政服务项目。</w:t>
      </w:r>
    </w:p>
    <w:p>
      <w:pPr>
        <w:ind w:firstLine="643" w:firstLineChars="200"/>
        <w:jc w:val="left"/>
        <w:rPr>
          <w:rFonts w:ascii="仿宋_GB2312" w:eastAsia="仿宋_GB2312" w:cs="仿宋"/>
          <w:color w:val="000000"/>
          <w:sz w:val="32"/>
          <w:szCs w:val="32"/>
          <w:lang w:val="zh-CN"/>
        </w:rPr>
      </w:pPr>
      <w:r>
        <w:rPr>
          <w:rFonts w:hint="eastAsia" w:ascii="仿宋_GB2312" w:eastAsia="仿宋_GB2312" w:cs="仿宋"/>
          <w:b/>
          <w:bCs/>
          <w:color w:val="000000"/>
          <w:sz w:val="32"/>
          <w:szCs w:val="32"/>
        </w:rPr>
        <w:t xml:space="preserve">第六条 </w:t>
      </w:r>
      <w:r>
        <w:rPr>
          <w:rFonts w:hint="eastAsia" w:ascii="仿宋_GB2312" w:eastAsia="仿宋_GB2312" w:cs="仿宋"/>
          <w:color w:val="000000"/>
          <w:sz w:val="32"/>
          <w:szCs w:val="32"/>
        </w:rPr>
        <w:t>专项资金的使用应当严格按照有关规定执行，严禁</w:t>
      </w:r>
      <w:r>
        <w:rPr>
          <w:rFonts w:hint="eastAsia" w:ascii="仿宋_GB2312" w:eastAsia="仿宋_GB2312"/>
          <w:color w:val="000000"/>
          <w:sz w:val="32"/>
          <w:szCs w:val="32"/>
        </w:rPr>
        <w:t>虚报套取、挤占挪用，</w:t>
      </w:r>
      <w:r>
        <w:rPr>
          <w:rFonts w:hint="eastAsia" w:ascii="仿宋_GB2312" w:eastAsia="仿宋_GB2312" w:cs="仿宋"/>
          <w:color w:val="000000"/>
          <w:sz w:val="32"/>
          <w:szCs w:val="32"/>
        </w:rPr>
        <w:t>不得用于</w:t>
      </w:r>
      <w:r>
        <w:rPr>
          <w:rFonts w:hint="eastAsia" w:ascii="仿宋_GB2312" w:eastAsia="仿宋_GB2312" w:cs="仿宋"/>
          <w:color w:val="000000"/>
          <w:sz w:val="32"/>
          <w:szCs w:val="32"/>
          <w:lang w:val="zh-CN"/>
        </w:rPr>
        <w:t>一般性业务费和</w:t>
      </w:r>
      <w:r>
        <w:rPr>
          <w:rFonts w:ascii="仿宋_GB2312" w:eastAsia="仿宋_GB2312" w:cs="仿宋"/>
          <w:color w:val="000000"/>
          <w:sz w:val="32"/>
          <w:szCs w:val="32"/>
          <w:lang w:val="zh-CN"/>
        </w:rPr>
        <w:t>“</w:t>
      </w:r>
      <w:r>
        <w:rPr>
          <w:rFonts w:hint="eastAsia" w:ascii="仿宋_GB2312" w:eastAsia="仿宋_GB2312" w:cs="仿宋"/>
          <w:color w:val="000000"/>
          <w:sz w:val="32"/>
          <w:szCs w:val="32"/>
          <w:lang w:val="zh-CN"/>
        </w:rPr>
        <w:t>三公</w:t>
      </w:r>
      <w:r>
        <w:rPr>
          <w:rFonts w:ascii="仿宋_GB2312" w:eastAsia="仿宋_GB2312" w:cs="仿宋"/>
          <w:color w:val="000000"/>
          <w:sz w:val="32"/>
          <w:szCs w:val="32"/>
          <w:lang w:val="zh-CN"/>
        </w:rPr>
        <w:t>”</w:t>
      </w:r>
      <w:r>
        <w:rPr>
          <w:rFonts w:hint="eastAsia" w:ascii="仿宋_GB2312" w:eastAsia="仿宋_GB2312" w:cs="仿宋"/>
          <w:color w:val="000000"/>
          <w:sz w:val="32"/>
          <w:szCs w:val="32"/>
          <w:lang w:val="zh-CN"/>
        </w:rPr>
        <w:t>经费支出</w:t>
      </w:r>
      <w:r>
        <w:rPr>
          <w:rFonts w:hint="eastAsia" w:ascii="仿宋_GB2312" w:eastAsia="仿宋_GB2312" w:cs="仿宋"/>
          <w:color w:val="000000"/>
          <w:sz w:val="32"/>
          <w:szCs w:val="32"/>
        </w:rPr>
        <w:t>以及其他不符合规定用途的支出，</w:t>
      </w:r>
      <w:r>
        <w:rPr>
          <w:rFonts w:hint="eastAsia" w:ascii="仿宋_GB2312" w:eastAsia="仿宋_GB2312" w:cs="仿宋"/>
          <w:color w:val="000000"/>
          <w:sz w:val="32"/>
          <w:szCs w:val="32"/>
          <w:lang w:val="zh-CN"/>
        </w:rPr>
        <w:t>任何部门和单位不得截留、挤占和挪用。</w:t>
      </w:r>
    </w:p>
    <w:p>
      <w:pPr>
        <w:rPr>
          <w:rFonts w:ascii="仿宋" w:eastAsia="仿宋" w:cs="仿宋"/>
          <w:b/>
          <w:bCs/>
          <w:color w:val="000000"/>
          <w:sz w:val="32"/>
          <w:szCs w:val="32"/>
        </w:rPr>
      </w:pPr>
    </w:p>
    <w:p>
      <w:pPr>
        <w:jc w:val="center"/>
        <w:rPr>
          <w:rFonts w:ascii="黑体" w:eastAsia="黑体" w:cs="黑体"/>
          <w:color w:val="000000"/>
          <w:sz w:val="32"/>
          <w:szCs w:val="32"/>
        </w:rPr>
      </w:pPr>
      <w:r>
        <w:rPr>
          <w:rFonts w:hint="eastAsia" w:ascii="黑体" w:eastAsia="黑体" w:cs="黑体"/>
          <w:color w:val="000000"/>
          <w:sz w:val="32"/>
          <w:szCs w:val="32"/>
        </w:rPr>
        <w:t>第三章  分配和使用管理</w:t>
      </w:r>
    </w:p>
    <w:p>
      <w:pPr>
        <w:rPr>
          <w:rFonts w:ascii="仿宋" w:eastAsia="仿宋" w:cs="仿宋"/>
          <w:b/>
          <w:bCs/>
          <w:color w:val="000000"/>
          <w:sz w:val="32"/>
          <w:szCs w:val="32"/>
        </w:rPr>
      </w:pPr>
      <w:r>
        <w:rPr>
          <w:rFonts w:hint="eastAsia" w:ascii="仿宋" w:eastAsia="仿宋" w:cs="仿宋"/>
          <w:b/>
          <w:bCs/>
          <w:color w:val="000000"/>
          <w:sz w:val="32"/>
          <w:szCs w:val="32"/>
        </w:rPr>
        <w:t xml:space="preserve">    </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第七条 </w:t>
      </w:r>
      <w:r>
        <w:rPr>
          <w:rFonts w:hint="eastAsia" w:ascii="仿宋_GB2312" w:eastAsia="仿宋_GB2312" w:cs="仿宋"/>
          <w:color w:val="000000"/>
          <w:sz w:val="32"/>
          <w:szCs w:val="32"/>
        </w:rPr>
        <w:t>专项资金预算分为省本级支出预算和省对市转移支付预算两部分。预算的编制、报送和审批分别执行省级部门预算和省级对市转移支付预算管理制度，并实行中期财政规划管理。</w:t>
      </w:r>
    </w:p>
    <w:p>
      <w:pPr>
        <w:ind w:firstLine="630" w:firstLineChars="196"/>
        <w:rPr>
          <w:rFonts w:ascii="仿宋_GB2312" w:eastAsia="仿宋_GB2312" w:cs="仿宋"/>
          <w:color w:val="000000"/>
          <w:sz w:val="32"/>
          <w:szCs w:val="32"/>
        </w:rPr>
      </w:pPr>
      <w:r>
        <w:rPr>
          <w:rFonts w:hint="eastAsia" w:ascii="仿宋_GB2312" w:eastAsia="仿宋_GB2312" w:cs="仿宋"/>
          <w:b/>
          <w:color w:val="000000"/>
          <w:sz w:val="32"/>
          <w:szCs w:val="32"/>
        </w:rPr>
        <w:t>第八条</w:t>
      </w:r>
      <w:r>
        <w:rPr>
          <w:rFonts w:hint="eastAsia" w:ascii="仿宋_GB2312" w:eastAsia="仿宋_GB2312" w:cs="仿宋"/>
          <w:color w:val="000000"/>
          <w:sz w:val="32"/>
          <w:szCs w:val="32"/>
        </w:rPr>
        <w:t xml:space="preserve"> 省民政厅应细化专项资金本级支出预算编制，规范项目预算申报，强化项目预算及绩效目标审核，做到项目预算立项依据充分、定额标准科学、绩效目标合理。要强化项目前期管理，建立和完善预算项目库动态管理和评审机制，实现项目预算规范化、数据化滚动管理。</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第九条 </w:t>
      </w:r>
      <w:r>
        <w:rPr>
          <w:rFonts w:hint="eastAsia" w:ascii="仿宋_GB2312" w:eastAsia="仿宋_GB2312" w:cs="仿宋"/>
          <w:color w:val="000000"/>
          <w:sz w:val="32"/>
          <w:szCs w:val="32"/>
        </w:rPr>
        <w:t>省对市的转移支付资金，主要参考各地县（市、区）数量、支持建设示范点数量（当年计划）等因素进行测算和分配，</w:t>
      </w:r>
      <w:r>
        <w:rPr>
          <w:rFonts w:hint="eastAsia" w:ascii="仿宋_GB2312" w:eastAsia="仿宋_GB2312" w:cs="仿宋"/>
          <w:sz w:val="32"/>
          <w:szCs w:val="32"/>
        </w:rPr>
        <w:t>其中县（市、区）数量以资金下达时的行政区划为准。</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测算公式为：某地补助资金=某地社会工作站项目督导评估经费+某地支持社会组织参与社会服务资金。</w:t>
      </w:r>
    </w:p>
    <w:p>
      <w:pPr>
        <w:ind w:firstLine="640" w:firstLineChars="200"/>
        <w:rPr>
          <w:rFonts w:ascii="仿宋_GB2312" w:eastAsia="仿宋" w:cs="仿宋"/>
          <w:color w:val="000000"/>
          <w:sz w:val="32"/>
          <w:szCs w:val="32"/>
        </w:rPr>
      </w:pPr>
      <w:r>
        <w:rPr>
          <w:rFonts w:hint="eastAsia" w:ascii="仿宋_GB2312" w:eastAsia="仿宋_GB2312" w:cs="仿宋"/>
          <w:color w:val="000000"/>
          <w:sz w:val="32"/>
          <w:szCs w:val="32"/>
        </w:rPr>
        <w:t>某地社会工作站项目督导评估经费=社会工作站项目督导评估经费</w:t>
      </w:r>
      <w:r>
        <w:rPr>
          <w:rFonts w:ascii="Arial" w:hAnsi="Arial" w:eastAsia="仿宋_GB2312" w:cs="Arial"/>
          <w:color w:val="000000"/>
          <w:sz w:val="32"/>
          <w:szCs w:val="32"/>
        </w:rPr>
        <w:t>×</w:t>
      </w:r>
      <m:oMath>
        <m:f>
          <m:fPr>
            <m:ctrlPr>
              <w:rPr>
                <w:rFonts w:hint="eastAsia" w:ascii="Cambria Math" w:hAnsi="Cambria Math" w:eastAsia="仿宋" w:cs="仿宋"/>
                <w:i/>
                <w:color w:val="000000"/>
                <w:sz w:val="44"/>
                <w:szCs w:val="44"/>
              </w:rPr>
            </m:ctrlPr>
          </m:fPr>
          <m:num>
            <m:r>
              <m:rPr>
                <m:sty m:val="p"/>
              </m:rPr>
              <w:rPr>
                <w:rFonts w:hint="eastAsia" w:ascii="Cambria Math" w:hAnsi="Cambria Math" w:eastAsia="仿宋" w:cs="仿宋"/>
                <w:color w:val="000000"/>
                <w:sz w:val="44"/>
                <w:szCs w:val="44"/>
              </w:rPr>
              <m:t>某地县（市、区）数量</m:t>
            </m:r>
            <m:ctrlPr>
              <w:rPr>
                <w:rFonts w:hint="eastAsia" w:ascii="Cambria Math" w:hAnsi="Cambria Math" w:eastAsia="仿宋" w:cs="仿宋"/>
                <w:i/>
                <w:color w:val="000000"/>
                <w:sz w:val="44"/>
                <w:szCs w:val="44"/>
              </w:rPr>
            </m:ctrlPr>
          </m:num>
          <m:den>
            <m:r>
              <m:rPr>
                <m:sty m:val="p"/>
              </m:rPr>
              <w:rPr>
                <w:rFonts w:hint="eastAsia" w:ascii="Cambria Math" w:hAnsi="Cambria Math" w:eastAsia="仿宋" w:cs="仿宋"/>
                <w:color w:val="000000"/>
                <w:sz w:val="44"/>
                <w:szCs w:val="44"/>
              </w:rPr>
              <m:t>全省县（市、区）数量</m:t>
            </m:r>
            <m:ctrlPr>
              <w:rPr>
                <w:rFonts w:hint="eastAsia" w:ascii="Cambria Math" w:hAnsi="Cambria Math" w:eastAsia="仿宋" w:cs="仿宋"/>
                <w:i/>
                <w:color w:val="000000"/>
                <w:sz w:val="44"/>
                <w:szCs w:val="44"/>
              </w:rPr>
            </m:ctrlPr>
          </m:den>
        </m:f>
      </m:oMath>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某地支持社会组织参与社会服务资金=支持社会组织参与社会服务资金</w:t>
      </w:r>
      <w:r>
        <w:rPr>
          <w:rFonts w:ascii="Arial" w:hAnsi="Arial" w:eastAsia="仿宋_GB2312" w:cs="Arial"/>
          <w:color w:val="000000"/>
          <w:sz w:val="32"/>
          <w:szCs w:val="32"/>
        </w:rPr>
        <w:t>×</w:t>
      </w:r>
      <m:oMath>
        <m:f>
          <m:fPr>
            <m:ctrlPr>
              <w:rPr>
                <w:rFonts w:ascii="Cambria Math" w:hAnsi="Cambria Math" w:cs="Arial"/>
                <w:i/>
                <w:color w:val="000000"/>
                <w:sz w:val="44"/>
                <w:szCs w:val="44"/>
              </w:rPr>
            </m:ctrlPr>
          </m:fPr>
          <m:num>
            <m:r>
              <m:rPr>
                <m:sty m:val="p"/>
              </m:rPr>
              <w:rPr>
                <w:rFonts w:hint="eastAsia" w:ascii="Arial" w:hAnsi="Arial" w:eastAsia="仿宋_GB2312" w:cs="Arial"/>
                <w:color w:val="000000"/>
                <w:sz w:val="44"/>
                <w:szCs w:val="44"/>
              </w:rPr>
              <m:t>某地</m:t>
            </m:r>
            <m:r>
              <m:rPr>
                <m:sty m:val="p"/>
              </m:rPr>
              <w:rPr>
                <w:rFonts w:hint="eastAsia" w:ascii="仿宋_GB2312" w:eastAsia="仿宋_GB2312" w:cs="仿宋"/>
                <w:color w:val="000000"/>
                <w:sz w:val="44"/>
                <w:szCs w:val="44"/>
              </w:rPr>
              <m:t>支持建设示范点数</m:t>
            </m:r>
            <m:ctrlPr>
              <w:rPr>
                <w:rFonts w:ascii="Cambria Math" w:hAnsi="Cambria Math" w:cs="Arial"/>
                <w:i/>
                <w:color w:val="000000"/>
                <w:sz w:val="44"/>
                <w:szCs w:val="44"/>
              </w:rPr>
            </m:ctrlPr>
          </m:num>
          <m:den>
            <m:r>
              <m:rPr>
                <m:sty m:val="p"/>
              </m:rPr>
              <w:rPr>
                <w:rFonts w:hint="eastAsia" w:ascii="仿宋_GB2312" w:eastAsia="仿宋_GB2312" w:cs="仿宋"/>
                <w:color w:val="000000"/>
                <w:sz w:val="44"/>
                <w:szCs w:val="44"/>
              </w:rPr>
              <m:t>全省支持建设示范点数量</m:t>
            </m:r>
            <m:ctrlPr>
              <w:rPr>
                <w:rFonts w:ascii="Cambria Math" w:hAnsi="Cambria Math" w:cs="Arial"/>
                <w:i/>
                <w:color w:val="000000"/>
                <w:sz w:val="44"/>
                <w:szCs w:val="44"/>
              </w:rPr>
            </m:ctrlPr>
          </m:den>
        </m:f>
      </m:oMath>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分配资金测算后取整至万元进行下达。</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第十条 </w:t>
      </w:r>
      <w:r>
        <w:rPr>
          <w:rFonts w:hint="eastAsia" w:ascii="仿宋_GB2312" w:eastAsia="仿宋_GB2312" w:cs="仿宋"/>
          <w:color w:val="000000"/>
          <w:sz w:val="32"/>
          <w:szCs w:val="32"/>
        </w:rPr>
        <w:t>对市转移支付资金应确保按照预算执行管理有关时限要求下达。接到转移支付资金后，市级民政部门按照省民政厅、财政厅确定的资金使用方向和分配原则，结合本地工作实际，提出资金分配方案，报同级财政部门审核后及时下拨资金。</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第十一条 </w:t>
      </w:r>
      <w:r>
        <w:rPr>
          <w:rFonts w:hint="eastAsia" w:ascii="仿宋_GB2312" w:eastAsia="仿宋_GB2312" w:cs="仿宋"/>
          <w:color w:val="000000"/>
          <w:sz w:val="32"/>
          <w:szCs w:val="32"/>
        </w:rPr>
        <w:t>各级民政部门应当严格按照财政部门批复的预算执行，不得擅自调整预算，不得截留、挤占、挪用资金。在预算执行过程中，如发生项目变更、终止，确需调整预算的，应当按照预算管理有关规定和程序进行审批。</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各级民政部门应当加强项目资金管理，跟踪绩效目标完成情况，加快预算执行进度，强化项目结项管理。</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第十二条 </w:t>
      </w:r>
      <w:r>
        <w:rPr>
          <w:rFonts w:hint="eastAsia" w:ascii="仿宋_GB2312" w:eastAsia="仿宋_GB2312" w:cs="仿宋"/>
          <w:color w:val="000000"/>
          <w:sz w:val="32"/>
          <w:szCs w:val="32"/>
        </w:rPr>
        <w:t>专项资金支付，按照国库集中支付制度有关规定执行。</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第十三条 </w:t>
      </w:r>
      <w:r>
        <w:rPr>
          <w:rFonts w:hint="eastAsia" w:ascii="仿宋_GB2312" w:eastAsia="仿宋_GB2312" w:cs="仿宋"/>
          <w:color w:val="000000"/>
          <w:sz w:val="32"/>
          <w:szCs w:val="32"/>
        </w:rPr>
        <w:t>结转结余资金的使用和管理，按照财政部门有关结转结余资金的使用和管理办法执行。</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第十四条</w:t>
      </w:r>
      <w:r>
        <w:rPr>
          <w:rFonts w:hint="eastAsia" w:ascii="仿宋_GB2312" w:eastAsia="仿宋_GB2312" w:cs="仿宋"/>
          <w:color w:val="000000"/>
          <w:sz w:val="32"/>
          <w:szCs w:val="32"/>
        </w:rPr>
        <w:t xml:space="preserve"> 专项资金使用过程中涉及政府采购的，按照国家有关政府采购的规定执行。</w:t>
      </w:r>
    </w:p>
    <w:p>
      <w:pPr>
        <w:jc w:val="center"/>
        <w:rPr>
          <w:rFonts w:ascii="黑体" w:eastAsia="黑体" w:cs="黑体"/>
          <w:sz w:val="32"/>
          <w:szCs w:val="32"/>
        </w:rPr>
      </w:pPr>
      <w:r>
        <w:rPr>
          <w:rFonts w:hint="eastAsia" w:ascii="黑体" w:eastAsia="黑体" w:cs="黑体"/>
          <w:sz w:val="32"/>
          <w:szCs w:val="32"/>
        </w:rPr>
        <w:t>第四章 信息公开</w:t>
      </w:r>
    </w:p>
    <w:p>
      <w:pPr>
        <w:ind w:firstLine="643" w:firstLineChars="200"/>
        <w:rPr>
          <w:rFonts w:ascii="仿宋" w:eastAsia="仿宋" w:cs="仿宋"/>
          <w:b/>
          <w:bCs/>
          <w:sz w:val="32"/>
          <w:szCs w:val="32"/>
        </w:rPr>
      </w:pPr>
    </w:p>
    <w:p>
      <w:pPr>
        <w:ind w:firstLine="643" w:firstLineChars="200"/>
        <w:rPr>
          <w:rFonts w:ascii="仿宋_GB2312" w:eastAsia="仿宋_GB2312" w:cs="仿宋"/>
          <w:sz w:val="32"/>
          <w:szCs w:val="32"/>
          <w:lang w:val="zh-CN"/>
        </w:rPr>
      </w:pPr>
      <w:r>
        <w:rPr>
          <w:rFonts w:hint="eastAsia" w:ascii="仿宋_GB2312" w:eastAsia="仿宋_GB2312" w:cs="仿宋"/>
          <w:b/>
          <w:bCs/>
          <w:sz w:val="32"/>
          <w:szCs w:val="32"/>
        </w:rPr>
        <w:t xml:space="preserve">第十五条 </w:t>
      </w:r>
      <w:r>
        <w:rPr>
          <w:rFonts w:hint="eastAsia" w:ascii="仿宋_GB2312" w:eastAsia="仿宋_GB2312" w:cs="仿宋"/>
          <w:sz w:val="32"/>
          <w:szCs w:val="32"/>
          <w:lang w:val="zh-CN"/>
        </w:rPr>
        <w:t>各级民政部门、专项资金使用单位应当根据有关规定，及时公开资金使用情况，自觉接受社会监督。</w:t>
      </w:r>
    </w:p>
    <w:p>
      <w:pPr>
        <w:ind w:firstLine="643" w:firstLineChars="200"/>
        <w:rPr>
          <w:rFonts w:ascii="仿宋_GB2312" w:eastAsia="仿宋_GB2312" w:cs="仿宋"/>
          <w:sz w:val="32"/>
          <w:szCs w:val="32"/>
          <w:lang w:val="zh-CN"/>
        </w:rPr>
      </w:pPr>
      <w:r>
        <w:rPr>
          <w:rFonts w:hint="eastAsia" w:ascii="仿宋_GB2312" w:eastAsia="仿宋_GB2312" w:cs="仿宋"/>
          <w:b/>
          <w:bCs/>
          <w:sz w:val="32"/>
          <w:szCs w:val="32"/>
        </w:rPr>
        <w:t xml:space="preserve">第十六条 </w:t>
      </w:r>
      <w:r>
        <w:rPr>
          <w:rFonts w:hint="eastAsia" w:ascii="仿宋_GB2312" w:eastAsia="仿宋_GB2312" w:cs="仿宋"/>
          <w:sz w:val="32"/>
          <w:szCs w:val="32"/>
          <w:lang w:val="zh-CN"/>
        </w:rPr>
        <w:t>每年</w:t>
      </w:r>
      <w:r>
        <w:rPr>
          <w:rFonts w:hint="eastAsia" w:ascii="仿宋_GB2312" w:eastAsia="仿宋_GB2312" w:cs="仿宋"/>
          <w:sz w:val="32"/>
          <w:szCs w:val="32"/>
        </w:rPr>
        <w:t>4月底前，</w:t>
      </w:r>
      <w:r>
        <w:rPr>
          <w:rFonts w:hint="eastAsia" w:ascii="仿宋_GB2312" w:eastAsia="仿宋_GB2312" w:cs="仿宋"/>
          <w:sz w:val="32"/>
          <w:szCs w:val="32"/>
          <w:lang w:val="zh-CN"/>
        </w:rPr>
        <w:t>设区市民政部门、财政部门应当将上年度本地区使用专项资金的使用情况上报省民政厅、财政厅。</w:t>
      </w:r>
      <w:r>
        <w:rPr>
          <w:rFonts w:hint="eastAsia" w:ascii="仿宋_GB2312" w:eastAsia="仿宋_GB2312" w:cs="仿宋"/>
          <w:bCs/>
          <w:sz w:val="32"/>
          <w:szCs w:val="32"/>
        </w:rPr>
        <w:t>每年5月底前，省民政厅应当向省财政厅报送上一年度资金使用情况。</w:t>
      </w:r>
      <w:r>
        <w:rPr>
          <w:rFonts w:hint="eastAsia" w:ascii="仿宋_GB2312" w:eastAsia="仿宋_GB2312" w:cs="仿宋"/>
          <w:sz w:val="32"/>
          <w:szCs w:val="32"/>
          <w:lang w:val="zh-CN"/>
        </w:rPr>
        <w:t>每年6月底前，省民政厅应当将上年度专项资金使用情况向社会公告。</w:t>
      </w:r>
    </w:p>
    <w:p>
      <w:pPr>
        <w:rPr>
          <w:rFonts w:ascii="仿宋" w:eastAsia="仿宋" w:cs="仿宋"/>
          <w:color w:val="000000"/>
          <w:sz w:val="32"/>
          <w:szCs w:val="32"/>
        </w:rPr>
      </w:pPr>
    </w:p>
    <w:p>
      <w:pPr>
        <w:numPr>
          <w:ilvl w:val="0"/>
          <w:numId w:val="2"/>
        </w:numPr>
        <w:ind w:firstLine="640" w:firstLineChars="200"/>
        <w:jc w:val="center"/>
        <w:rPr>
          <w:rFonts w:ascii="黑体" w:eastAsia="黑体" w:cs="黑体"/>
          <w:color w:val="000000"/>
          <w:sz w:val="32"/>
          <w:szCs w:val="32"/>
        </w:rPr>
      </w:pPr>
      <w:r>
        <w:rPr>
          <w:rFonts w:hint="eastAsia" w:ascii="黑体" w:eastAsia="黑体" w:cs="黑体"/>
          <w:color w:val="000000"/>
          <w:sz w:val="32"/>
          <w:szCs w:val="32"/>
        </w:rPr>
        <w:t>绩效管理与监督检查</w:t>
      </w:r>
    </w:p>
    <w:p>
      <w:pPr>
        <w:rPr>
          <w:rFonts w:ascii="黑体" w:eastAsia="黑体" w:cs="黑体"/>
          <w:color w:val="000000"/>
          <w:sz w:val="32"/>
          <w:szCs w:val="32"/>
        </w:rPr>
      </w:pP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第十七条 </w:t>
      </w:r>
      <w:r>
        <w:rPr>
          <w:rFonts w:hint="eastAsia" w:ascii="仿宋_GB2312" w:eastAsia="仿宋_GB2312" w:cs="仿宋"/>
          <w:color w:val="000000"/>
          <w:sz w:val="32"/>
          <w:szCs w:val="32"/>
        </w:rPr>
        <w:t xml:space="preserve">各级民政、财政部门应当根据预算绩效管理相关要求，实施对专项资金的全过程预算绩效管理。所有省本级项目均应当按规定编制绩效目标，未按要求编制绩效目标的项目不得纳入年度部门预算，省民政厅在对下分配资金时，同步分解下达绩效目标，市财政、民政部门将本地区绩效目标及时对下分解。 </w:t>
      </w:r>
    </w:p>
    <w:p>
      <w:pPr>
        <w:ind w:firstLine="640" w:firstLineChars="200"/>
        <w:rPr>
          <w:rFonts w:ascii="仿宋_GB2312" w:eastAsia="仿宋_GB2312" w:cs="仿宋_GB2312"/>
          <w:color w:val="000000"/>
          <w:sz w:val="32"/>
          <w:szCs w:val="32"/>
        </w:rPr>
      </w:pPr>
      <w:r>
        <w:rPr>
          <w:rFonts w:hint="eastAsia" w:ascii="仿宋_GB2312" w:eastAsia="仿宋_GB2312" w:cs="宋体"/>
          <w:color w:val="000000"/>
          <w:sz w:val="32"/>
          <w:szCs w:val="32"/>
        </w:rPr>
        <w:t>各级民政、财政部门应当在预算执行中开展绩效目标执行监控。在年度执行结束后，按要求组织开展绩效评价，具备条件的项目可以委托第三方机构参与评估评价。</w:t>
      </w:r>
      <w:r>
        <w:rPr>
          <w:rFonts w:hint="eastAsia" w:ascii="仿宋_GB2312" w:eastAsia="仿宋_GB2312" w:cs="仿宋_GB2312"/>
          <w:color w:val="000000"/>
          <w:sz w:val="32"/>
          <w:szCs w:val="32"/>
        </w:rPr>
        <w:t>绩效评价结果作为下一年度调整政策、改进管理、分配预算的参考和重要依据。</w:t>
      </w:r>
    </w:p>
    <w:p>
      <w:pPr>
        <w:ind w:firstLine="643" w:firstLineChars="200"/>
        <w:rPr>
          <w:rFonts w:ascii="仿宋_GB2312" w:eastAsia="仿宋_GB2312" w:cs="仿宋"/>
          <w:b/>
          <w:bCs/>
          <w:color w:val="000000"/>
          <w:sz w:val="32"/>
          <w:szCs w:val="32"/>
        </w:rPr>
      </w:pPr>
      <w:r>
        <w:rPr>
          <w:rFonts w:hint="eastAsia" w:ascii="仿宋_GB2312" w:eastAsia="仿宋_GB2312" w:cs="仿宋"/>
          <w:b/>
          <w:bCs/>
          <w:color w:val="000000"/>
          <w:sz w:val="32"/>
          <w:szCs w:val="32"/>
        </w:rPr>
        <w:t xml:space="preserve">第十八条  </w:t>
      </w:r>
      <w:r>
        <w:rPr>
          <w:rFonts w:hint="eastAsia" w:ascii="仿宋_GB2312" w:eastAsia="仿宋_GB2312" w:cs="仿宋"/>
          <w:bCs/>
          <w:color w:val="000000"/>
          <w:sz w:val="32"/>
          <w:szCs w:val="32"/>
        </w:rPr>
        <w:t>各级财政、民政部门应当加强专项资金管理使用的监督检查，确保资金及时、足额拨付和专款专用。</w:t>
      </w:r>
    </w:p>
    <w:p>
      <w:pPr>
        <w:adjustRightInd w:val="0"/>
        <w:snapToGrid w:val="0"/>
        <w:spacing w:line="600" w:lineRule="exact"/>
        <w:ind w:firstLine="643" w:firstLineChars="200"/>
        <w:rPr>
          <w:rFonts w:ascii="仿宋_GB2312" w:eastAsia="仿宋_GB2312" w:cs="仿宋_GB2312"/>
          <w:color w:val="000000"/>
          <w:sz w:val="32"/>
          <w:szCs w:val="32"/>
        </w:rPr>
      </w:pPr>
      <w:r>
        <w:rPr>
          <w:rFonts w:hint="eastAsia" w:ascii="仿宋_GB2312" w:eastAsia="仿宋_GB2312" w:cs="仿宋"/>
          <w:b/>
          <w:bCs/>
          <w:color w:val="000000"/>
          <w:sz w:val="32"/>
          <w:szCs w:val="32"/>
        </w:rPr>
        <w:t>第</w:t>
      </w:r>
      <w:r>
        <w:rPr>
          <w:rFonts w:hint="eastAsia" w:ascii="仿宋_GB2312" w:eastAsia="仿宋_GB2312" w:cs="仿宋_GB2312"/>
          <w:b/>
          <w:bCs/>
          <w:color w:val="000000"/>
          <w:sz w:val="32"/>
          <w:szCs w:val="32"/>
        </w:rPr>
        <w:t>十九</w:t>
      </w:r>
      <w:r>
        <w:rPr>
          <w:rFonts w:hint="eastAsia" w:ascii="仿宋_GB2312" w:eastAsia="仿宋_GB2312" w:cs="仿宋"/>
          <w:b/>
          <w:bCs/>
          <w:color w:val="000000"/>
          <w:sz w:val="32"/>
          <w:szCs w:val="32"/>
        </w:rPr>
        <w:t xml:space="preserve">条 </w:t>
      </w:r>
      <w:r>
        <w:rPr>
          <w:rFonts w:hint="eastAsia" w:ascii="仿宋_GB2312" w:eastAsia="仿宋_GB2312" w:cs="仿宋_GB2312"/>
          <w:color w:val="000000"/>
          <w:sz w:val="32"/>
          <w:szCs w:val="32"/>
        </w:rPr>
        <w:t>对专项资金使用管理中存在的各类财政违法违规行为，依照《</w:t>
      </w:r>
      <w:r>
        <w:rPr>
          <w:rFonts w:hint="eastAsia" w:ascii="仿宋_GB2312" w:eastAsia="仿宋_GB2312" w:cs="仿宋_GB2312"/>
          <w:color w:val="000000"/>
          <w:sz w:val="32"/>
          <w:szCs w:val="32"/>
          <w:lang w:val="en-US" w:eastAsia="zh-CN"/>
        </w:rPr>
        <w:t>中华人民</w:t>
      </w:r>
      <w:r>
        <w:rPr>
          <w:rFonts w:hint="eastAsia" w:ascii="仿宋_GB2312" w:eastAsia="仿宋_GB2312" w:cs="仿宋_GB2312"/>
          <w:color w:val="000000"/>
          <w:sz w:val="32"/>
          <w:szCs w:val="32"/>
        </w:rPr>
        <w:t>共和国预算法》《中华人民共和国预算法实施条例》和《财政违法行为处罚处分条例》等有关规定处理。</w:t>
      </w:r>
    </w:p>
    <w:p>
      <w:pPr>
        <w:adjustRightInd w:val="0"/>
        <w:snapToGrid w:val="0"/>
        <w:spacing w:line="600" w:lineRule="exact"/>
        <w:ind w:firstLine="643" w:firstLineChars="200"/>
        <w:rPr>
          <w:rFonts w:ascii="仿宋_GB2312" w:eastAsia="仿宋_GB2312" w:cs="仿宋"/>
          <w:b/>
          <w:bCs/>
          <w:color w:val="000000"/>
          <w:sz w:val="32"/>
          <w:szCs w:val="32"/>
        </w:rPr>
      </w:pPr>
      <w:r>
        <w:rPr>
          <w:rFonts w:hint="eastAsia" w:ascii="仿宋_GB2312" w:eastAsia="仿宋_GB2312" w:cs="仿宋"/>
          <w:b/>
          <w:bCs/>
          <w:color w:val="000000"/>
          <w:sz w:val="32"/>
          <w:szCs w:val="32"/>
        </w:rPr>
        <w:t xml:space="preserve">第二十条 </w:t>
      </w:r>
      <w:r>
        <w:rPr>
          <w:rFonts w:hint="eastAsia" w:ascii="仿宋_GB2312" w:eastAsia="仿宋_GB2312"/>
          <w:color w:val="000000"/>
          <w:sz w:val="32"/>
          <w:szCs w:val="32"/>
        </w:rPr>
        <w:t>各级</w:t>
      </w:r>
      <w:r>
        <w:rPr>
          <w:rFonts w:hint="eastAsia" w:ascii="仿宋_GB2312" w:eastAsia="仿宋_GB2312" w:cs="仿宋_GB2312"/>
          <w:color w:val="000000"/>
          <w:sz w:val="32"/>
          <w:szCs w:val="32"/>
          <w:lang w:val="zh-CN"/>
        </w:rPr>
        <w:t>财政、民政</w:t>
      </w:r>
      <w:r>
        <w:rPr>
          <w:rFonts w:hint="eastAsia" w:ascii="仿宋_GB2312" w:eastAsia="仿宋_GB2312"/>
          <w:color w:val="000000"/>
          <w:sz w:val="32"/>
          <w:szCs w:val="32"/>
        </w:rPr>
        <w:t>部门及其工作人员，在资金使用管理活动中，存在违反本办法规定的行为，以及其他滥用职权、玩忽职守、徇私舞弊等违法违纪行为的，依照《预算法》、《公务员法》、《行政监察法》、《彩票管理条例》等国家有关规定追究相应责任；涉嫌犯罪的，依法移送司法机关处理</w:t>
      </w:r>
      <w:r>
        <w:rPr>
          <w:rStyle w:val="7"/>
          <w:rFonts w:hint="eastAsia" w:ascii="仿宋_GB2312" w:eastAsia="仿宋_GB2312" w:cs="Arial"/>
          <w:b w:val="0"/>
          <w:color w:val="000000"/>
          <w:sz w:val="32"/>
          <w:szCs w:val="32"/>
        </w:rPr>
        <w:t>。</w:t>
      </w:r>
    </w:p>
    <w:p>
      <w:pPr>
        <w:ind w:firstLine="643" w:firstLineChars="200"/>
        <w:rPr>
          <w:rFonts w:ascii="仿宋" w:eastAsia="仿宋" w:cs="仿宋"/>
          <w:b/>
          <w:bCs/>
          <w:color w:val="000000"/>
          <w:sz w:val="32"/>
          <w:szCs w:val="32"/>
        </w:rPr>
      </w:pPr>
    </w:p>
    <w:p>
      <w:pPr>
        <w:jc w:val="center"/>
        <w:rPr>
          <w:rFonts w:ascii="黑体" w:eastAsia="黑体" w:cs="黑体"/>
          <w:color w:val="000000"/>
          <w:sz w:val="32"/>
          <w:szCs w:val="32"/>
        </w:rPr>
      </w:pPr>
      <w:r>
        <w:rPr>
          <w:rFonts w:hint="eastAsia" w:ascii="黑体" w:eastAsia="黑体" w:cs="黑体"/>
          <w:color w:val="000000"/>
          <w:sz w:val="32"/>
          <w:szCs w:val="32"/>
        </w:rPr>
        <w:t>第六章 附则</w:t>
      </w:r>
    </w:p>
    <w:p>
      <w:pPr>
        <w:jc w:val="center"/>
        <w:rPr>
          <w:rFonts w:ascii="黑体" w:eastAsia="黑体" w:cs="黑体"/>
          <w:color w:val="000000"/>
          <w:sz w:val="32"/>
          <w:szCs w:val="32"/>
        </w:rPr>
      </w:pPr>
    </w:p>
    <w:p>
      <w:pPr>
        <w:ind w:firstLine="643" w:firstLineChars="200"/>
        <w:rPr>
          <w:rFonts w:ascii="仿宋_GB2312" w:eastAsia="仿宋_GB2312" w:cs="仿宋"/>
          <w:b/>
          <w:bCs/>
          <w:color w:val="000000"/>
          <w:sz w:val="32"/>
          <w:szCs w:val="32"/>
        </w:rPr>
      </w:pPr>
      <w:r>
        <w:rPr>
          <w:rFonts w:hint="eastAsia" w:ascii="仿宋_GB2312" w:eastAsia="仿宋_GB2312" w:cs="仿宋"/>
          <w:b/>
          <w:bCs/>
          <w:color w:val="000000"/>
          <w:sz w:val="32"/>
          <w:szCs w:val="32"/>
        </w:rPr>
        <w:t xml:space="preserve">第二十一条 </w:t>
      </w:r>
      <w:r>
        <w:rPr>
          <w:rFonts w:hint="eastAsia" w:ascii="仿宋_GB2312" w:eastAsia="仿宋_GB2312" w:cs="仿宋"/>
          <w:color w:val="000000"/>
          <w:sz w:val="32"/>
          <w:szCs w:val="32"/>
        </w:rPr>
        <w:t>市、县财政部门、民政部门可以参照本办法规定，结合本地实际，制定本地区专项资金使用管理办法。</w:t>
      </w:r>
    </w:p>
    <w:p>
      <w:pPr>
        <w:ind w:firstLine="643" w:firstLineChars="200"/>
        <w:rPr>
          <w:rFonts w:ascii="方正小标宋简体" w:hAnsi="方正小标宋简体" w:eastAsia="方正小标宋简体" w:cs="方正小标宋简体"/>
          <w:color w:val="000000"/>
          <w:sz w:val="36"/>
          <w:szCs w:val="36"/>
        </w:rPr>
      </w:pPr>
      <w:r>
        <w:rPr>
          <w:rFonts w:hint="eastAsia" w:ascii="仿宋_GB2312" w:eastAsia="仿宋_GB2312" w:cs="仿宋"/>
          <w:b/>
          <w:bCs/>
          <w:color w:val="000000"/>
          <w:sz w:val="32"/>
          <w:szCs w:val="32"/>
        </w:rPr>
        <w:t xml:space="preserve">第二十二条 </w:t>
      </w:r>
      <w:r>
        <w:rPr>
          <w:rFonts w:hint="eastAsia" w:ascii="仿宋_GB2312" w:eastAsia="仿宋_GB2312" w:cs="仿宋"/>
          <w:color w:val="000000"/>
          <w:sz w:val="32"/>
          <w:szCs w:val="32"/>
        </w:rPr>
        <w:t>本办法执行期为2021年至2023年，自印发之日起施行。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7B5F19"/>
    <w:multiLevelType w:val="singleLevel"/>
    <w:tmpl w:val="E47B5F19"/>
    <w:lvl w:ilvl="0" w:tentative="0">
      <w:start w:val="1"/>
      <w:numFmt w:val="chineseCounting"/>
      <w:suff w:val="nothing"/>
      <w:lvlText w:val="（%1）"/>
      <w:lvlJc w:val="left"/>
      <w:rPr>
        <w:rFonts w:hint="eastAsia"/>
      </w:rPr>
    </w:lvl>
  </w:abstractNum>
  <w:abstractNum w:abstractNumId="1">
    <w:nsid w:val="7157BC57"/>
    <w:multiLevelType w:val="singleLevel"/>
    <w:tmpl w:val="7157BC57"/>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20534B"/>
    <w:rsid w:val="002F5F88"/>
    <w:rsid w:val="005C7AF4"/>
    <w:rsid w:val="00A468F0"/>
    <w:rsid w:val="00D01372"/>
    <w:rsid w:val="024C3493"/>
    <w:rsid w:val="02F01480"/>
    <w:rsid w:val="0346223E"/>
    <w:rsid w:val="04683387"/>
    <w:rsid w:val="04F2647C"/>
    <w:rsid w:val="05177555"/>
    <w:rsid w:val="057B3F5A"/>
    <w:rsid w:val="077E05CF"/>
    <w:rsid w:val="07C80AA0"/>
    <w:rsid w:val="07CB4148"/>
    <w:rsid w:val="08842FA1"/>
    <w:rsid w:val="0895685E"/>
    <w:rsid w:val="08CC4FB9"/>
    <w:rsid w:val="095D7D4A"/>
    <w:rsid w:val="09D602FD"/>
    <w:rsid w:val="09F32F03"/>
    <w:rsid w:val="0BDE6369"/>
    <w:rsid w:val="0CF52BA2"/>
    <w:rsid w:val="0DA16811"/>
    <w:rsid w:val="0ED32112"/>
    <w:rsid w:val="0FDB01BA"/>
    <w:rsid w:val="10DA5FD6"/>
    <w:rsid w:val="112E4DD2"/>
    <w:rsid w:val="11E162F2"/>
    <w:rsid w:val="121064F7"/>
    <w:rsid w:val="12547A74"/>
    <w:rsid w:val="12B66041"/>
    <w:rsid w:val="12EA044F"/>
    <w:rsid w:val="13683355"/>
    <w:rsid w:val="13C66A9C"/>
    <w:rsid w:val="146479E1"/>
    <w:rsid w:val="15CB2C3A"/>
    <w:rsid w:val="15EC59BE"/>
    <w:rsid w:val="1692643F"/>
    <w:rsid w:val="17294ADA"/>
    <w:rsid w:val="17E3606B"/>
    <w:rsid w:val="1A291215"/>
    <w:rsid w:val="1ACE2A8F"/>
    <w:rsid w:val="1BC72DE2"/>
    <w:rsid w:val="1D7543DD"/>
    <w:rsid w:val="1D89233F"/>
    <w:rsid w:val="1E4A3BCD"/>
    <w:rsid w:val="1ECA3712"/>
    <w:rsid w:val="1EE062C7"/>
    <w:rsid w:val="1F532CAD"/>
    <w:rsid w:val="1F746F7E"/>
    <w:rsid w:val="1F925845"/>
    <w:rsid w:val="20A40A1D"/>
    <w:rsid w:val="20D300A8"/>
    <w:rsid w:val="2162066C"/>
    <w:rsid w:val="24B9377F"/>
    <w:rsid w:val="259E6F56"/>
    <w:rsid w:val="25FC42C6"/>
    <w:rsid w:val="26CE2567"/>
    <w:rsid w:val="276262B4"/>
    <w:rsid w:val="276569B8"/>
    <w:rsid w:val="2815010F"/>
    <w:rsid w:val="28291A64"/>
    <w:rsid w:val="28B85969"/>
    <w:rsid w:val="28C42C6F"/>
    <w:rsid w:val="28FB676D"/>
    <w:rsid w:val="295A01A7"/>
    <w:rsid w:val="296621DC"/>
    <w:rsid w:val="29987C00"/>
    <w:rsid w:val="2B0B4131"/>
    <w:rsid w:val="2B8E02D5"/>
    <w:rsid w:val="2B8F3F43"/>
    <w:rsid w:val="2D560DB6"/>
    <w:rsid w:val="2D8320BD"/>
    <w:rsid w:val="2DB611EF"/>
    <w:rsid w:val="2F356509"/>
    <w:rsid w:val="2FF35F12"/>
    <w:rsid w:val="305C3A56"/>
    <w:rsid w:val="309807B8"/>
    <w:rsid w:val="31D371F9"/>
    <w:rsid w:val="31F22FE1"/>
    <w:rsid w:val="32591427"/>
    <w:rsid w:val="33DD3477"/>
    <w:rsid w:val="345E572D"/>
    <w:rsid w:val="35343A60"/>
    <w:rsid w:val="35F0178F"/>
    <w:rsid w:val="361D17ED"/>
    <w:rsid w:val="36923D41"/>
    <w:rsid w:val="36F02AAA"/>
    <w:rsid w:val="37D820E0"/>
    <w:rsid w:val="38D743B1"/>
    <w:rsid w:val="395D70B0"/>
    <w:rsid w:val="399E1734"/>
    <w:rsid w:val="3C6C167E"/>
    <w:rsid w:val="3D1A29EC"/>
    <w:rsid w:val="3D8A6441"/>
    <w:rsid w:val="3E3166CA"/>
    <w:rsid w:val="3E8740E0"/>
    <w:rsid w:val="3F2B4D1D"/>
    <w:rsid w:val="3F6A1FC8"/>
    <w:rsid w:val="40B537DE"/>
    <w:rsid w:val="41ED728A"/>
    <w:rsid w:val="41F16BA0"/>
    <w:rsid w:val="438B16E6"/>
    <w:rsid w:val="46530C09"/>
    <w:rsid w:val="46CB4934"/>
    <w:rsid w:val="46F53F83"/>
    <w:rsid w:val="470C45D2"/>
    <w:rsid w:val="475C4542"/>
    <w:rsid w:val="48E63DA1"/>
    <w:rsid w:val="48F53CF5"/>
    <w:rsid w:val="49314B1D"/>
    <w:rsid w:val="4961491A"/>
    <w:rsid w:val="4A8542C5"/>
    <w:rsid w:val="4CCD377F"/>
    <w:rsid w:val="4CE07447"/>
    <w:rsid w:val="4D235B85"/>
    <w:rsid w:val="4ED74FCC"/>
    <w:rsid w:val="4F954038"/>
    <w:rsid w:val="4F962AB6"/>
    <w:rsid w:val="4FE951FD"/>
    <w:rsid w:val="506F5115"/>
    <w:rsid w:val="513402E2"/>
    <w:rsid w:val="514F6B70"/>
    <w:rsid w:val="515E17A4"/>
    <w:rsid w:val="516638D6"/>
    <w:rsid w:val="52024C0C"/>
    <w:rsid w:val="52F8576B"/>
    <w:rsid w:val="54171C4E"/>
    <w:rsid w:val="5749796D"/>
    <w:rsid w:val="57744DA7"/>
    <w:rsid w:val="581103DC"/>
    <w:rsid w:val="5B1C3C84"/>
    <w:rsid w:val="5B85269E"/>
    <w:rsid w:val="5BDF5184"/>
    <w:rsid w:val="5BF62F75"/>
    <w:rsid w:val="5CD66895"/>
    <w:rsid w:val="5E353BBC"/>
    <w:rsid w:val="5E5C51EB"/>
    <w:rsid w:val="5E9C6315"/>
    <w:rsid w:val="5FB742A0"/>
    <w:rsid w:val="606359A2"/>
    <w:rsid w:val="60B30A9F"/>
    <w:rsid w:val="61302063"/>
    <w:rsid w:val="620B08B2"/>
    <w:rsid w:val="62433117"/>
    <w:rsid w:val="63F25A8D"/>
    <w:rsid w:val="63FA7D00"/>
    <w:rsid w:val="64133344"/>
    <w:rsid w:val="64CC5758"/>
    <w:rsid w:val="64E343DB"/>
    <w:rsid w:val="64FB24E3"/>
    <w:rsid w:val="653159F9"/>
    <w:rsid w:val="65DD5018"/>
    <w:rsid w:val="66BC21E1"/>
    <w:rsid w:val="67837B39"/>
    <w:rsid w:val="67F14FAB"/>
    <w:rsid w:val="68274736"/>
    <w:rsid w:val="68C17311"/>
    <w:rsid w:val="69532886"/>
    <w:rsid w:val="697F7D43"/>
    <w:rsid w:val="6AA46B93"/>
    <w:rsid w:val="6ACD3E2B"/>
    <w:rsid w:val="6AD17727"/>
    <w:rsid w:val="6AE636AA"/>
    <w:rsid w:val="6BB15D61"/>
    <w:rsid w:val="6CB673C4"/>
    <w:rsid w:val="6CF2102D"/>
    <w:rsid w:val="6D22303C"/>
    <w:rsid w:val="6D5E099B"/>
    <w:rsid w:val="6DA46816"/>
    <w:rsid w:val="6DEA3FCA"/>
    <w:rsid w:val="6FA60C8D"/>
    <w:rsid w:val="701A48AC"/>
    <w:rsid w:val="70420078"/>
    <w:rsid w:val="71AA1E11"/>
    <w:rsid w:val="722E3029"/>
    <w:rsid w:val="7313493C"/>
    <w:rsid w:val="73912B67"/>
    <w:rsid w:val="73E00C5C"/>
    <w:rsid w:val="747075FE"/>
    <w:rsid w:val="74EA6126"/>
    <w:rsid w:val="77F30A4B"/>
    <w:rsid w:val="780A5E8E"/>
    <w:rsid w:val="780C1CEF"/>
    <w:rsid w:val="793413B1"/>
    <w:rsid w:val="793F7353"/>
    <w:rsid w:val="7A21099D"/>
    <w:rsid w:val="7A7729B0"/>
    <w:rsid w:val="7A9D6CB0"/>
    <w:rsid w:val="7C0A2CA3"/>
    <w:rsid w:val="7C772330"/>
    <w:rsid w:val="7CB01FD0"/>
    <w:rsid w:val="7CF90201"/>
    <w:rsid w:val="7D5C7B74"/>
    <w:rsid w:val="7D6C4C79"/>
    <w:rsid w:val="7D8C38CD"/>
    <w:rsid w:val="7DA96F3D"/>
    <w:rsid w:val="7E0E6F90"/>
    <w:rsid w:val="7E173DBF"/>
    <w:rsid w:val="7F2F6EAA"/>
    <w:rsid w:val="7FE4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uiPriority w:val="0"/>
    <w:rPr>
      <w:rFonts w:ascii="Calibri" w:hAnsi="Calibri"/>
      <w:kern w:val="2"/>
      <w:sz w:val="18"/>
      <w:szCs w:val="18"/>
    </w:rPr>
  </w:style>
  <w:style w:type="character" w:customStyle="1" w:styleId="9">
    <w:name w:val="页脚 Char"/>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2</Pages>
  <Words>412</Words>
  <Characters>2353</Characters>
  <Lines>19</Lines>
  <Paragraphs>5</Paragraphs>
  <TotalTime>1</TotalTime>
  <ScaleCrop>false</ScaleCrop>
  <LinksUpToDate>false</LinksUpToDate>
  <CharactersWithSpaces>2760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2021-09-27T09:26:00Z</dcterms:created>
  <dc:creator>ZhengYun</dc:creator>
  <cp:lastModifiedBy>admin</cp:lastModifiedBy>
  <cp:lastPrinted>2021-09-27T09:26:00Z</cp:lastPrinted>
  <dcterms:modified xsi:type="dcterms:W3CDTF">2023-04-21T06:51:26Z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