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A8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23C9A00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</w:p>
    <w:p w14:paraId="77E2284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社会团体换届大会议程（范本）</w:t>
      </w:r>
    </w:p>
    <w:p w14:paraId="2AEA04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本范本对社会团体换届采用间接选举方式适用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）</w:t>
      </w:r>
    </w:p>
    <w:p w14:paraId="3711B4A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textAlignment w:val="baseline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 w14:paraId="567027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一、主持人报告会员（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代表）到会情况（应到数、实到数、到会比例，超过2/3以上宣布可以开会）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介绍来宾、会议议程，宣读贺电、贺信、贺词等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37D104F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二、大会议程</w:t>
      </w:r>
    </w:p>
    <w:p w14:paraId="0EBC124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宣读业务主管单位同意换届选举的批准文件（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脱钩、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直接登记的社会团体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省略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）；</w:t>
      </w:r>
    </w:p>
    <w:p w14:paraId="5093C70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通过《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选举办法》；</w:t>
      </w:r>
    </w:p>
    <w:p w14:paraId="2B893E1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提名的总监票人、监票人、计票人（候选人不得担任）；</w:t>
      </w:r>
    </w:p>
    <w:p w14:paraId="44C579E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上届理事会工作报告；</w:t>
      </w:r>
    </w:p>
    <w:p w14:paraId="0828120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上届理事会财务工作报告；</w:t>
      </w:r>
    </w:p>
    <w:p w14:paraId="057FC51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监事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会工作报告；</w:t>
      </w:r>
    </w:p>
    <w:p w14:paraId="4EED7F3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章程修改草案说明并审议表决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章程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（草案）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;</w:t>
      </w:r>
    </w:p>
    <w:p w14:paraId="01143F4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会费标准和使用管理办法；</w:t>
      </w:r>
    </w:p>
    <w:p w14:paraId="2DC0988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会理事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监事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会监事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 w14:paraId="71351D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　  （十）召开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届理事会第一次会议：</w:t>
      </w:r>
    </w:p>
    <w:p w14:paraId="6B725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常务理事。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由理事会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从理事中选举产生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（适用于设常务理事会的）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 w14:paraId="331F2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副会长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秘书长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（不含聘任）。由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从理事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（常务理事）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 w14:paraId="28768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3.讨论通过分支机构负责人；</w:t>
      </w:r>
    </w:p>
    <w:p w14:paraId="0EFEC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4.讨论通过秘书长聘任人选和名誉职务人选。</w:t>
      </w:r>
    </w:p>
    <w:p w14:paraId="770E2C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召开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监事会第一次会议：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推选监事长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 w14:paraId="3B50898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总监票人宣读选举结果（采用无记名投票的，必须报告发放、收回选票数，有效票数，赞成、反对、弃权票数）；</w:t>
      </w:r>
    </w:p>
    <w:p w14:paraId="0ADAAEF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社会团体登记管理机关讲话；</w:t>
      </w:r>
    </w:p>
    <w:p w14:paraId="3F848DD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新任会长代表新一届理事会讲话。</w:t>
      </w:r>
    </w:p>
    <w:p w14:paraId="30D450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lang w:val="en-US" w:eastAsia="zh-CN" w:bidi="ar-SA"/>
        </w:rPr>
      </w:pPr>
    </w:p>
    <w:p w14:paraId="60E836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</w:t>
      </w:r>
    </w:p>
    <w:p w14:paraId="2074A5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58E38D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lang w:val="en-US" w:eastAsia="zh-CN" w:bidi="ar-SA"/>
        </w:rPr>
      </w:pPr>
    </w:p>
    <w:p w14:paraId="0F598C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48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社会团体成立大会议程（范本）</w:t>
      </w:r>
    </w:p>
    <w:p w14:paraId="39D32B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（本范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本对社会团体成立采取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间接选举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方式适用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）</w:t>
      </w:r>
    </w:p>
    <w:p w14:paraId="5D0D9C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</w:pPr>
    </w:p>
    <w:p w14:paraId="00A58F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一、主持人报告会员到会情况（应到数、实到数、到会比例，超过2/3以上宣布可以开会）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介绍来宾、会议议程，宣读贺电、贺信、贺词等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581F063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二、大会议程</w:t>
      </w:r>
    </w:p>
    <w:p w14:paraId="1FF1A4B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宣读业务主管单位同意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的批准文件（直接登记的社会团体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省略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）；</w:t>
      </w:r>
    </w:p>
    <w:p w14:paraId="7667F2C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筹备组负责人作成立筹备工作报告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 w14:paraId="37D596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通过《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选举办法》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 w14:paraId="654893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提名的总监票人、监票人、计票人（候选人不得担任）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 w14:paraId="1171813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（五）宣读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章程草案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说明并审议表决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章程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（草案）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;</w:t>
      </w:r>
    </w:p>
    <w:p w14:paraId="040C477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审议表决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会费标准和使用管理办法；</w:t>
      </w:r>
    </w:p>
    <w:p w14:paraId="1D9F782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会理事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第一届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监事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会监事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 w14:paraId="7C699A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　  （八）召开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届理事会第一次会议：</w:t>
      </w:r>
    </w:p>
    <w:p w14:paraId="0D0675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常务理事。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由理事会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从理事中选举产生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（适用于设常务理事的）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 w14:paraId="1EB3B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副会长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秘书长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（不含聘任）。由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理事会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从理事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（常务理事）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20419F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召开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监事会第一次会议：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推选监事长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 w14:paraId="328CAA0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总监票人宣读选举结果（采用无记名投票的，必须报告发放、收回选票数，有效票数，赞成、反对、弃权票数）；</w:t>
      </w:r>
    </w:p>
    <w:p w14:paraId="7D81D0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　　（十一）社会团体登记管理机关讲话；</w:t>
      </w:r>
    </w:p>
    <w:p w14:paraId="4CFDED86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新任会长代表新一届理事会讲话。</w:t>
      </w:r>
    </w:p>
    <w:p w14:paraId="64B1CC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bidi="ar-SA"/>
        </w:rPr>
        <w:t>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</w:t>
      </w:r>
    </w:p>
    <w:p w14:paraId="3154DC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</w:p>
    <w:p w14:paraId="01A35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仿宋_GB2312" w:hAnsi="仿宋_GB2312" w:eastAsia="宋体" w:cs="仿宋_GB2312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福建省XX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选举办法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（范本）</w:t>
      </w:r>
    </w:p>
    <w:p w14:paraId="2C89D1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（本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办法适用于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间接选举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方式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-SA"/>
        </w:rPr>
        <w:t>）</w:t>
      </w:r>
    </w:p>
    <w:p w14:paraId="51AE1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1BF8F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根据国务院《社会团体登记管理条例》和本会章程的规定，制定福建省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理事会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选举办法。</w:t>
      </w:r>
    </w:p>
    <w:p w14:paraId="1AF10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一、本会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理事、常务理事、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监事、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会长、监事长、副会长、秘书长的人选，由第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届理事会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（如选举</w:t>
      </w:r>
      <w:r>
        <w:rPr>
          <w:rFonts w:hint="eastAsia" w:ascii="仿宋_GB2312" w:hAnsi="仿宋_GB2312" w:eastAsia="仿宋_GB2312"/>
          <w:color w:val="auto"/>
          <w:sz w:val="32"/>
          <w:szCs w:val="28"/>
        </w:rPr>
        <w:t>第一届理事</w:t>
      </w:r>
      <w:r>
        <w:rPr>
          <w:rFonts w:hint="eastAsia" w:ascii="仿宋_GB2312" w:hAnsi="仿宋_GB2312" w:eastAsia="仿宋_GB2312"/>
          <w:color w:val="auto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8"/>
        </w:rPr>
        <w:t>由发起人与</w:t>
      </w:r>
      <w:r>
        <w:rPr>
          <w:rFonts w:ascii="仿宋_GB2312" w:eastAsia="仿宋_GB2312"/>
          <w:color w:val="auto"/>
          <w:sz w:val="32"/>
          <w:szCs w:val="32"/>
        </w:rPr>
        <w:t>申请成立时的会员</w:t>
      </w:r>
      <w:r>
        <w:rPr>
          <w:rFonts w:hint="eastAsia" w:ascii="仿宋_GB2312" w:hAnsi="仿宋_GB2312" w:eastAsia="仿宋_GB2312"/>
          <w:color w:val="auto"/>
          <w:sz w:val="32"/>
          <w:szCs w:val="28"/>
        </w:rPr>
        <w:t>共同会商提名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研究提出候选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名单，提交第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第一次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会员大会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代表大会）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依照章程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33F06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二、本会采用确定候选人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等额选举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79784E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、选举理事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，监事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第一次会员大会（或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代表大会）采取举手表决方式选举产生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到会会员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或会员代表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过半数以上通过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选举有效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4F76F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baseline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四、选举常务理事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由新一届理事会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从理事中选举产生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（本条适用于设立常务理事会，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三分之二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同意选举有效。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采取无记名投票方式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2D534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选举会长1名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副会长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秘书长1名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，由新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届理事会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第一次会议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从理事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（常务理事）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到会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三分之二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同意选举有效。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行业协会商会应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采取无记名投票方式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选举产生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如果秘书长为聘任制的则不用参加选举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）。</w:t>
      </w:r>
    </w:p>
    <w:p w14:paraId="3BD66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选举监事长1名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新一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届监事会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第一次会议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推选产生。</w:t>
      </w:r>
    </w:p>
    <w:p w14:paraId="2EFD5E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七、填写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在候选人姓名下面符号栏内标注同意划“√”、 不同意划“×”、弃权划“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 w14:paraId="22BB2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、选举之前，应说明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会人数。收回的选票等于或少于发出的选票，选举有效；多于发出的选票数，选举无效，应重新选举。</w:t>
      </w:r>
    </w:p>
    <w:p w14:paraId="2603C3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、每张选票所选的人数，等于或少于应选人数的票为有效票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多于应选人数的为无效票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选票一律用钢笔或圆珠笔，符号要准确，字迹要清晰。选票上因涂改、书写不清无法辨认选票为废票。每位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会员或会员代表或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理事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只能填写一张选票。</w:t>
      </w:r>
    </w:p>
    <w:p w14:paraId="3A0AE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、选举设总监票人1名、监票人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名，计票人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，负责对选举全过程进行监督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候选人不得兼任监票人、计票人。计票结束后，由总监票人当场宣布选举结果。</w:t>
      </w:r>
    </w:p>
    <w:p w14:paraId="7F4A7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选票由本会统一印制，加盖“福建省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会”公章。　</w:t>
      </w:r>
    </w:p>
    <w:p w14:paraId="2C76B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本选举办法经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届第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次会员大会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代表大会）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通过后实施。</w:t>
      </w:r>
    </w:p>
    <w:p w14:paraId="1A8653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color w:val="auto"/>
        </w:rPr>
      </w:pPr>
    </w:p>
    <w:p w14:paraId="52A32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color w:val="auto"/>
        </w:rPr>
      </w:pPr>
    </w:p>
    <w:p w14:paraId="1491F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color w:val="auto"/>
        </w:rPr>
      </w:pPr>
    </w:p>
    <w:p w14:paraId="2D21B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color w:val="auto"/>
        </w:rPr>
      </w:pPr>
    </w:p>
    <w:p w14:paraId="2FC38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color w:val="auto"/>
        </w:rPr>
      </w:pPr>
    </w:p>
    <w:p w14:paraId="27431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color w:val="auto"/>
        </w:rPr>
      </w:pPr>
    </w:p>
    <w:p w14:paraId="25395A5A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</w:t>
      </w:r>
    </w:p>
    <w:p w14:paraId="5627BD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XX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会第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X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届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会员代表产生办法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（范本）</w:t>
      </w:r>
    </w:p>
    <w:p w14:paraId="7737DE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ascii="Calibri" w:hAnsi="Calibri" w:eastAsia="微软雅黑" w:cs="Calibri"/>
          <w:i w:val="0"/>
          <w:caps w:val="0"/>
          <w:color w:val="auto"/>
          <w:spacing w:val="0"/>
          <w:sz w:val="27"/>
          <w:szCs w:val="27"/>
          <w:shd w:val="clear" w:color="auto" w:fill="FFFFFF"/>
        </w:rPr>
      </w:pPr>
    </w:p>
    <w:p w14:paraId="0157AE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为严格规范会员代表的产生，明确会员代表的职责、权利和义务，特制定本办法。</w:t>
      </w:r>
    </w:p>
    <w:p w14:paraId="6B7B26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会员代表是指从协会会员中推选产生，代表会员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讨论决定属于会员大会讨论决定的事项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会员代表大会是本会的最高权力机构。</w:t>
      </w:r>
    </w:p>
    <w:p w14:paraId="4354747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会员代表推选坚持公开、公平、公正原则。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</w:p>
    <w:p w14:paraId="69C493F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会员代表的职责和权利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4F7DB60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制定或修改本会章程及其他规章制度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7616ECB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评议理事会工作，审议本会财务报告和相关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   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03C18F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选举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协会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理事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、监事及负责人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600F347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决定本会章程的其他重大事项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7C3B0C5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会员代表有选举权和被选举权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24CD5E8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............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C15938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会员代表应具有以下条件：</w:t>
      </w:r>
    </w:p>
    <w:p w14:paraId="1B6206CC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加入协会半年以上；</w:t>
      </w:r>
    </w:p>
    <w:p w14:paraId="4173B936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积极参加协会组织的活动，履行会员义务；</w:t>
      </w:r>
    </w:p>
    <w:p w14:paraId="1A137BAC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具有行业、专业和机构代表性；</w:t>
      </w:r>
    </w:p>
    <w:p w14:paraId="2CAACFCD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能够认真履行代表义务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；</w:t>
      </w:r>
    </w:p>
    <w:p w14:paraId="107E9E5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............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5139180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五、会员代表名额总数及分配：</w:t>
      </w:r>
    </w:p>
    <w:p w14:paraId="27C3646F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本会会员总数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个，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为了便于协会工作开展，本会第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届实行会员代表大会制度，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从本会实际情况出发，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本届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会员代表名额X个。</w:t>
      </w:r>
    </w:p>
    <w:p w14:paraId="08C25763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1.本会新一届理事、监事以上负责人及分支（代表）机构负责人拟任人选为本会的当然会员代表；</w:t>
      </w:r>
    </w:p>
    <w:p w14:paraId="3AB9CEE8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2.按照会员类型分配，其中，单位会员代表占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%，个人会员代表占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%；</w:t>
      </w:r>
    </w:p>
    <w:p w14:paraId="7198330E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3.按照地域分布的会员数量分配，其中，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个、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个、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个、....。</w:t>
      </w:r>
    </w:p>
    <w:p w14:paraId="7B5F030C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六、会员代表任期每届为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年（3-5年，按章程规定确定）。</w:t>
      </w:r>
    </w:p>
    <w:p w14:paraId="2A98CE5D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会员代表的推选程序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524FD941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会员代表的推选工作在会员代表大会召开30天前完成，会员代表的确认工作在会员代表大会召开之日15天前完成。</w:t>
      </w:r>
    </w:p>
    <w:p w14:paraId="15ABDB61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换届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选举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根据会员分布情况划分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地域，组织会员推选代表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0859A9A7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会员可向本选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召集人提出作为会员代表的申请（填写表格），由本选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召集人征求本选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会员意见，选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召集人确认后该申请人可成为本选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会员代表。</w:t>
      </w:r>
    </w:p>
    <w:p w14:paraId="05AA21BE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会员代表资格的审查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3677EE39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换届选举机构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根据本办法对会员代表进行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资格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会员代表资格审查通过后，由本会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换届选举机构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颁发会员代表证或出席证。</w:t>
      </w:r>
    </w:p>
    <w:p w14:paraId="2209DA32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会员代表填写的表格是否完整并符合要求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30F68841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2.会员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代表是否符合本办法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条件、程序等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25DFAC6F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有无违法犯罪及其他不良记录。</w:t>
      </w:r>
    </w:p>
    <w:p w14:paraId="14ED1531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会员代表资格的免除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会员代表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违反章程有关规定或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不能履行代表职责或正在接受组织调查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等情形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，会员代表资格自动丧失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并交回会员代表证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3AFA1324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本办法由理事会制定并修改、解释。</w:t>
      </w:r>
    </w:p>
    <w:p w14:paraId="573F90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0602E7B9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608B116D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6F153B83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216DEB48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43FB61C3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19034D35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6A6F286B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5AD6BF40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3FC4A67A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21535B31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251EB2B8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5001B7B4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1B16B930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21B7210F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4C0AF3C2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5A2EFF66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5</w:t>
      </w:r>
    </w:p>
    <w:p w14:paraId="17DA7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XX会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X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会费标准和使用管理办法</w:t>
      </w:r>
    </w:p>
    <w:p w14:paraId="5E45F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（范本）</w:t>
      </w:r>
    </w:p>
    <w:p w14:paraId="07B2CB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50EC74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根据国家发改委、民政部、财政部、国资委《关于进一步规范行业协会商会收费管理意见》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（发改经体〔2017〕1999号）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等文件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要求，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规范本会会费收取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、使用和管理，保证本会工作正常开展，结合我会实际状况，特制定本会会员缴纳会费标准和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使用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管理办法。</w:t>
      </w:r>
    </w:p>
    <w:p w14:paraId="72562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　一、会费收取标准</w:t>
      </w:r>
    </w:p>
    <w:p w14:paraId="503BD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会长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 xml:space="preserve">XX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</w:p>
    <w:p w14:paraId="56D2F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副会长单位：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元/年</w:t>
      </w:r>
    </w:p>
    <w:p w14:paraId="7FEF4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理事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元/年</w:t>
      </w:r>
    </w:p>
    <w:p w14:paraId="0BFE8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会员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元/年</w:t>
      </w:r>
    </w:p>
    <w:p w14:paraId="5133B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二、会费缴纳时间和方式</w:t>
      </w:r>
    </w:p>
    <w:p w14:paraId="0637E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会员按年度缴纳会费。每年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日前一次性缴足下年会费；每年7月1日后入会的，按当年会费的一半金额缴纳。</w:t>
      </w:r>
    </w:p>
    <w:p w14:paraId="409499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缴纳方式为支票、现金或汇入本会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账户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 w14:paraId="3659E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名：福建省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XXX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会</w:t>
      </w:r>
    </w:p>
    <w:p w14:paraId="3BECE7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开户行：******</w:t>
      </w:r>
    </w:p>
    <w:p w14:paraId="7E74AC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帐  号：******</w:t>
      </w:r>
    </w:p>
    <w:p w14:paraId="45B9EB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会费开支范围</w:t>
      </w:r>
    </w:p>
    <w:p w14:paraId="6AFA54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baseline"/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1.为会员提供基本服务项目：</w:t>
      </w:r>
      <w:r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  <w:t>……</w:t>
      </w:r>
    </w:p>
    <w:p w14:paraId="2BF6B6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baseline"/>
        <w:rPr>
          <w:rFonts w:hint="eastAsia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68ABDE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baseline"/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2.开展党建提供工作经费：</w:t>
      </w:r>
      <w:r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  <w:t>……</w:t>
      </w:r>
    </w:p>
    <w:p w14:paraId="5E9709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baseline"/>
        <w:rPr>
          <w:rFonts w:hint="eastAsia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2B0F6B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baseline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协会运转经费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办公必要支出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  <w:t>……</w:t>
      </w:r>
    </w:p>
    <w:p w14:paraId="548C90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baseline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6AE893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baseline"/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其他在会费中列支：</w:t>
      </w:r>
      <w:r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  <w:t>……</w:t>
      </w:r>
    </w:p>
    <w:p w14:paraId="71B6D0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baseline"/>
        <w:rPr>
          <w:rFonts w:hint="eastAsia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077435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baseline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5.……</w:t>
      </w:r>
    </w:p>
    <w:p w14:paraId="4F4F8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0046D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四、会费管理</w:t>
      </w:r>
    </w:p>
    <w:p w14:paraId="64716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会费由秘书处负责收取及管理，并开具《社会团体会费统一收据》。</w:t>
      </w:r>
    </w:p>
    <w:p w14:paraId="6E993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本会日常经费开支由秘书长审批，重大活动或主要项目由会长审定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，涉及投资等重大项目由理事会集体决策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 w14:paraId="12243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.协会（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财务账目由专职会计负责，严格执行《民间非营利组织会计制度》，接受会员大会、理事会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、监事会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和会员的质询和监督。</w:t>
      </w:r>
    </w:p>
    <w:p w14:paraId="47A2D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财务收支情况由秘书处定期向会员大会报告，每年提交审计部门审计。</w:t>
      </w:r>
    </w:p>
    <w:p w14:paraId="719BB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对于无故连续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年不缴纳会费的会员，经理事会表决后取消会员资格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并公布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 w14:paraId="6E412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本办法经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XXXX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日福建省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会第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X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届第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次会员大会表决通过后生效。</w:t>
      </w:r>
    </w:p>
    <w:p w14:paraId="58371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　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                             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                   </w:t>
      </w:r>
    </w:p>
    <w:p w14:paraId="29414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color w:val="auto"/>
          <w:sz w:val="32"/>
          <w:szCs w:val="32"/>
        </w:rPr>
      </w:pPr>
    </w:p>
    <w:p w14:paraId="76C25115">
      <w:pPr>
        <w:pStyle w:val="2"/>
        <w:rPr>
          <w:color w:val="auto"/>
          <w:sz w:val="32"/>
          <w:szCs w:val="32"/>
        </w:rPr>
      </w:pPr>
    </w:p>
    <w:p w14:paraId="3A2248A9">
      <w:pPr>
        <w:pStyle w:val="2"/>
        <w:rPr>
          <w:color w:val="auto"/>
          <w:sz w:val="32"/>
          <w:szCs w:val="32"/>
        </w:rPr>
      </w:pPr>
    </w:p>
    <w:p w14:paraId="3D159B53">
      <w:pPr>
        <w:pStyle w:val="2"/>
        <w:rPr>
          <w:color w:val="auto"/>
          <w:sz w:val="32"/>
          <w:szCs w:val="32"/>
        </w:rPr>
      </w:pPr>
    </w:p>
    <w:p w14:paraId="730370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附件6</w:t>
      </w:r>
    </w:p>
    <w:p w14:paraId="0A1AEE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both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 w14:paraId="0DCECD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  <w:t>XX会第X届会费标准及使用管理办法选票</w:t>
      </w:r>
    </w:p>
    <w:p w14:paraId="13C85B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加盖社会团体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公章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）</w:t>
      </w:r>
    </w:p>
    <w:p w14:paraId="483204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日</w:t>
      </w:r>
    </w:p>
    <w:tbl>
      <w:tblPr>
        <w:tblStyle w:val="5"/>
        <w:tblW w:w="899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3225"/>
        <w:gridCol w:w="2853"/>
      </w:tblGrid>
      <w:tr w14:paraId="47937C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30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内  容</w:t>
            </w:r>
          </w:p>
        </w:tc>
        <w:tc>
          <w:tcPr>
            <w:tcW w:w="6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D2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标  准（元/年）</w:t>
            </w:r>
          </w:p>
        </w:tc>
      </w:tr>
      <w:tr w14:paraId="3349D7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EC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会  长</w:t>
            </w:r>
          </w:p>
        </w:tc>
        <w:tc>
          <w:tcPr>
            <w:tcW w:w="6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CB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3156F3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tblCellSpacing w:w="0" w:type="dxa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27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副会长</w:t>
            </w:r>
          </w:p>
        </w:tc>
        <w:tc>
          <w:tcPr>
            <w:tcW w:w="6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27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 w14:paraId="48DBB4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A2E1A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65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理  事</w:t>
            </w:r>
          </w:p>
        </w:tc>
        <w:tc>
          <w:tcPr>
            <w:tcW w:w="6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59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1360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C7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会  员</w:t>
            </w:r>
          </w:p>
        </w:tc>
        <w:tc>
          <w:tcPr>
            <w:tcW w:w="6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01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AFAD4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DA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同  意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F9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反  对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39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弃  权</w:t>
            </w:r>
          </w:p>
        </w:tc>
      </w:tr>
      <w:tr w14:paraId="375A91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55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1E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E7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0DB752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8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D9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会费使用管理办法</w:t>
            </w:r>
          </w:p>
        </w:tc>
      </w:tr>
      <w:tr w14:paraId="383B90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8C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同  意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4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反  对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AC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弃  权</w:t>
            </w:r>
          </w:p>
        </w:tc>
      </w:tr>
      <w:tr w14:paraId="2BB5D0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tblCellSpacing w:w="0" w:type="dxa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9D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80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D5B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80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3CF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80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105F942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1.会费标准应当明确，不得具有浮动性；2.行业协会商会会费标准不超过4级；3.请在对应的表决选项栏下标注“√”；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4.选票应归档留存备查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44BCC7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附件7-1</w:t>
      </w:r>
    </w:p>
    <w:p w14:paraId="096BD71D">
      <w:pPr>
        <w:pStyle w:val="2"/>
        <w:rPr>
          <w:rFonts w:hint="eastAsia"/>
          <w:lang w:val="en-US"/>
        </w:rPr>
      </w:pPr>
    </w:p>
    <w:p w14:paraId="42B850C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XX会第X届理事选举选票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 </w:t>
      </w:r>
    </w:p>
    <w:p w14:paraId="7829C6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加盖社会团体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公章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）</w:t>
      </w:r>
    </w:p>
    <w:p w14:paraId="667015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日</w:t>
      </w:r>
    </w:p>
    <w:tbl>
      <w:tblPr>
        <w:tblStyle w:val="5"/>
        <w:tblW w:w="909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982"/>
        <w:gridCol w:w="1158"/>
        <w:gridCol w:w="1158"/>
        <w:gridCol w:w="1158"/>
        <w:gridCol w:w="1158"/>
        <w:gridCol w:w="1158"/>
        <w:gridCol w:w="1164"/>
      </w:tblGrid>
      <w:tr w14:paraId="7896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6A29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DE71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236E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DD1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EFDE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6D58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AB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7ADD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915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E5E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8C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F3A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EAA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F97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014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4342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4E04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094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3B6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E4E1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3D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F19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388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F1D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B3B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0239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C5C9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7E63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636B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71F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2E3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A8AD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D68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C2A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D16E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CC8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6FD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234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92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310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9D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DFB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842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DC4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B0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11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EC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67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EFC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1E1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4CB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93B9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69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1C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080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7C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6073F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1.应选理事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人；2.同意的请在候选人姓名下面符号栏内标注“√”，反对的标注“×”，弃权的标注“○”；3.等于或少于应选候选人名额的选票为有效票，多于应选候选人名额的选票为无效票，无法确认的选票为废票；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4.选票应归档留存备查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34BFA6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附件7-2</w:t>
      </w:r>
    </w:p>
    <w:p w14:paraId="55A5B827">
      <w:pPr>
        <w:pStyle w:val="2"/>
        <w:rPr>
          <w:rFonts w:hint="eastAsia"/>
          <w:lang w:val="en-US" w:eastAsia="zh-CN"/>
        </w:rPr>
      </w:pPr>
    </w:p>
    <w:p w14:paraId="4707745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  <w:t>XX会第X届常务理事选举选票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 </w:t>
      </w:r>
    </w:p>
    <w:p w14:paraId="4FDC93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加盖社会团体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公章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）</w:t>
      </w:r>
    </w:p>
    <w:p w14:paraId="100E82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日</w:t>
      </w:r>
    </w:p>
    <w:tbl>
      <w:tblPr>
        <w:tblStyle w:val="5"/>
        <w:tblW w:w="88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097"/>
        <w:gridCol w:w="1097"/>
        <w:gridCol w:w="1097"/>
        <w:gridCol w:w="1097"/>
        <w:gridCol w:w="1097"/>
        <w:gridCol w:w="1097"/>
        <w:gridCol w:w="1098"/>
      </w:tblGrid>
      <w:tr w14:paraId="5E83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DBB3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7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2B86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常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1BF7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EDB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E49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E43F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8C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66DB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F8A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EFC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66D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2A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ABC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1923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1F5C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33C4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FF3F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6E0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256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E873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1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FCFB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54F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01E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4B95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420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2C7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CB6C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9B3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54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5FF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289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D21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3626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727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E10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C5F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640D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A8E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E77B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F590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28A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5E0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D02E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4B4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1B9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3D2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04C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E6F4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622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935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8CFF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A1C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BBEF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57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66C2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72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2DE08DE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400" w:lineRule="exact"/>
        <w:ind w:right="0" w:firstLine="480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1.应选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常务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理事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人；2.同意的请在候选人姓名下面符号栏内标注“√”，反对的标注“×”，弃权的标注“○”；3.等于或少于应选候选人名额的选票为有效票，多于应选候选人名额的选票为无效票，无法确认的选票为废票；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4.选票应归档留存备查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6E21E6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 </w:t>
      </w:r>
    </w:p>
    <w:p w14:paraId="7BBDA9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附件8</w:t>
      </w:r>
    </w:p>
    <w:p w14:paraId="2F9FBEBF">
      <w:pPr>
        <w:pStyle w:val="2"/>
        <w:rPr>
          <w:rFonts w:hint="eastAsia"/>
          <w:lang w:val="en-US" w:eastAsia="zh-CN"/>
        </w:rPr>
      </w:pPr>
    </w:p>
    <w:p w14:paraId="112DDAC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  <w:t>XX会第X届负责人选举选票</w:t>
      </w:r>
    </w:p>
    <w:p w14:paraId="009FF5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加盖社会团体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公章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）</w:t>
      </w:r>
    </w:p>
    <w:p w14:paraId="317DEC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日</w:t>
      </w:r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94"/>
        <w:gridCol w:w="1194"/>
        <w:gridCol w:w="1197"/>
        <w:gridCol w:w="1195"/>
        <w:gridCol w:w="1195"/>
        <w:gridCol w:w="1197"/>
      </w:tblGrid>
      <w:tr w14:paraId="4E9E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tblCellSpacing w:w="0" w:type="dxa"/>
          <w:jc w:val="center"/>
        </w:trPr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5A8F99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位</w:t>
            </w:r>
          </w:p>
        </w:tc>
        <w:tc>
          <w:tcPr>
            <w:tcW w:w="36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80F4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会长候选人</w:t>
            </w:r>
          </w:p>
        </w:tc>
        <w:tc>
          <w:tcPr>
            <w:tcW w:w="36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08CC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秘书长候选人</w:t>
            </w:r>
          </w:p>
        </w:tc>
      </w:tr>
      <w:tr w14:paraId="76E7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12312E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36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1377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5D2C4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6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17BC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A1DC1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88ABF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14:paraId="0BAB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tblCellSpacing w:w="0" w:type="dxa"/>
          <w:jc w:val="center"/>
        </w:trPr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527AD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36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E1B7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AAC6D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6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CED1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44AFC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3DF7D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1F4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132A73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位</w:t>
            </w:r>
          </w:p>
        </w:tc>
        <w:tc>
          <w:tcPr>
            <w:tcW w:w="732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8114D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副会长候选人</w:t>
            </w:r>
          </w:p>
        </w:tc>
      </w:tr>
      <w:tr w14:paraId="0CA2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32C3D5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7F7512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2123CA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 w14:paraId="31896B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45C90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36AE0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 w14:paraId="6DF639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1BA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tblCellSpacing w:w="0" w:type="dxa"/>
          <w:jc w:val="center"/>
        </w:trPr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6849C6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310DA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56CEDE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 w14:paraId="50207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628729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 w14:paraId="3B183B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 w14:paraId="2196F9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 w14:paraId="2ED1765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1.应选会长1人，秘书长1人，副会长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人；2.同意的请在候选人姓名下面符号栏内标注“√”，反对的标注“×”，弃权的标注“○”；3.等于或少于应选候选人名额的选票为有效票，多于应选候选人名额的选票为无效票，无法确认的选票为废票；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4.选票应归档留存备查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42EA9736">
      <w:pPr>
        <w:pStyle w:val="2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6A524020">
      <w:pPr>
        <w:pStyle w:val="2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680F0EC1">
      <w:pPr>
        <w:pStyle w:val="2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119515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附件9</w:t>
      </w:r>
    </w:p>
    <w:p w14:paraId="250407B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  <w:t>XX会第X届监事长选举选票</w:t>
      </w:r>
    </w:p>
    <w:p w14:paraId="5378A4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加盖社会团体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公章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）</w:t>
      </w:r>
    </w:p>
    <w:p w14:paraId="4BEAB4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日</w:t>
      </w:r>
    </w:p>
    <w:tbl>
      <w:tblPr>
        <w:tblStyle w:val="5"/>
        <w:tblW w:w="87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6960"/>
      </w:tblGrid>
      <w:tr w14:paraId="03989B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633" w:hRule="atLeast"/>
          <w:tblCellSpacing w:w="0" w:type="dxa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6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82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监 事 长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3E2F0D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tblCellSpacing w:w="0" w:type="dxa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F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AA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A6B2D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1AF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tblCellSpacing w:w="0" w:type="dxa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E3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C9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11245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2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56A3F1B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right="0" w:firstLine="414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1.应选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监事长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1人；2.同意的请在候选人姓名下面符号栏内标注“√”，反对的标注“×”，弃权的标注“○”；3.等于或少于应选候选人名额的选票为有效票，多于应选候选人名额的选票为无效票，无法确认的选票为废票；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4.选票应归档留存备查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72F27DE2">
      <w:pPr>
        <w:pStyle w:val="2"/>
        <w:ind w:firstLine="414"/>
        <w:rPr>
          <w:rFonts w:hint="eastAsia"/>
          <w:lang w:val="en-US" w:eastAsia="zh-CN"/>
        </w:rPr>
      </w:pPr>
    </w:p>
    <w:p w14:paraId="5915DF95">
      <w:pPr>
        <w:pStyle w:val="2"/>
        <w:ind w:firstLine="414"/>
        <w:rPr>
          <w:rFonts w:hint="eastAsia"/>
          <w:lang w:val="en-US" w:eastAsia="zh-CN"/>
        </w:rPr>
      </w:pPr>
    </w:p>
    <w:p w14:paraId="41DAF119">
      <w:pPr>
        <w:pStyle w:val="2"/>
        <w:ind w:firstLine="414"/>
        <w:rPr>
          <w:rFonts w:hint="eastAsia"/>
          <w:lang w:val="en-US" w:eastAsia="zh-CN"/>
        </w:rPr>
      </w:pPr>
    </w:p>
    <w:p w14:paraId="62564DFB">
      <w:pPr>
        <w:pStyle w:val="2"/>
        <w:ind w:firstLine="414"/>
        <w:rPr>
          <w:rFonts w:hint="eastAsia"/>
          <w:lang w:val="en-US" w:eastAsia="zh-CN"/>
        </w:rPr>
      </w:pPr>
    </w:p>
    <w:p w14:paraId="7D9FE675">
      <w:pPr>
        <w:pStyle w:val="2"/>
        <w:ind w:firstLine="414"/>
        <w:rPr>
          <w:rFonts w:hint="eastAsia"/>
          <w:lang w:val="en-US" w:eastAsia="zh-CN"/>
        </w:rPr>
      </w:pPr>
    </w:p>
    <w:p w14:paraId="3B50BF79">
      <w:pPr>
        <w:pStyle w:val="2"/>
        <w:ind w:firstLine="414"/>
        <w:rPr>
          <w:rFonts w:hint="eastAsia"/>
          <w:lang w:val="en-US" w:eastAsia="zh-CN"/>
        </w:rPr>
      </w:pPr>
    </w:p>
    <w:p w14:paraId="6D15AB1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附件10</w:t>
      </w:r>
    </w:p>
    <w:p w14:paraId="758F981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316BB4B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  <w:t>XX会第X届会员大会（或会员代表大会）</w:t>
      </w:r>
    </w:p>
    <w:p w14:paraId="3EB5E42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  <w:t>选举结果汇总表</w:t>
      </w:r>
    </w:p>
    <w:p w14:paraId="449F92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加盖社会团体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公章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）</w:t>
      </w:r>
    </w:p>
    <w:p w14:paraId="27E9F2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日</w:t>
      </w:r>
    </w:p>
    <w:tbl>
      <w:tblPr>
        <w:tblStyle w:val="5"/>
        <w:tblW w:w="921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902"/>
        <w:gridCol w:w="1908"/>
        <w:gridCol w:w="1902"/>
        <w:gridCol w:w="1908"/>
      </w:tblGrid>
      <w:tr w14:paraId="29F905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A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会员（会员</w:t>
            </w:r>
          </w:p>
          <w:p w14:paraId="5DCC1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代表）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3DF072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发出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收回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有效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无效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</w:t>
            </w:r>
          </w:p>
        </w:tc>
      </w:tr>
      <w:tr w14:paraId="692575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章程草案</w:t>
            </w:r>
          </w:p>
        </w:tc>
        <w:tc>
          <w:tcPr>
            <w:tcW w:w="7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 w:firstLine="1440" w:firstLineChars="60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赞成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弃权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票；反对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票。</w:t>
            </w:r>
          </w:p>
        </w:tc>
      </w:tr>
      <w:tr w14:paraId="1C1587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会费标准</w:t>
            </w:r>
          </w:p>
        </w:tc>
        <w:tc>
          <w:tcPr>
            <w:tcW w:w="7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 w:firstLine="1440" w:firstLineChars="60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赞成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弃权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票；反对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票。</w:t>
            </w:r>
          </w:p>
        </w:tc>
      </w:tr>
      <w:tr w14:paraId="3CBDAF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理事选举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候选人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赞成票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弃权票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反对票</w:t>
            </w:r>
          </w:p>
        </w:tc>
      </w:tr>
      <w:tr w14:paraId="2A97EA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5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4C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C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7DB2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6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2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E074F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0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6A85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D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常务理事</w:t>
            </w:r>
          </w:p>
          <w:p w14:paraId="46BB2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选举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3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候选人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赞成票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弃权票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C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反对票</w:t>
            </w:r>
          </w:p>
        </w:tc>
      </w:tr>
      <w:tr w14:paraId="3A6127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3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0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8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E8B1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5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8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7BDC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监事选举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候选人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5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赞成票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弃权票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反对票</w:t>
            </w:r>
          </w:p>
        </w:tc>
      </w:tr>
      <w:tr w14:paraId="4DD127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7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6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42C2E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C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B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6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C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4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B5563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7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A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7BA62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副会长选举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2B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候选人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赞成票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A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弃权票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0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反对票</w:t>
            </w:r>
          </w:p>
        </w:tc>
      </w:tr>
      <w:tr w14:paraId="4B0DF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0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C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8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80B7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B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1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9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72B3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秘书长选举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8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候选人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赞成票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弃权票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反对票</w:t>
            </w:r>
          </w:p>
        </w:tc>
      </w:tr>
      <w:tr w14:paraId="69EE84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8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863A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监事长选举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候选人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D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赞成票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弃权票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反对票</w:t>
            </w:r>
          </w:p>
        </w:tc>
      </w:tr>
      <w:tr w14:paraId="5D0778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1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AF63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会长选举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候选人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赞成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弃权票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反对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票</w:t>
            </w:r>
          </w:p>
        </w:tc>
      </w:tr>
      <w:tr w14:paraId="27FFF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7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59EB4AC9">
      <w:pPr>
        <w:pStyle w:val="3"/>
        <w:tabs>
          <w:tab w:val="left" w:pos="7380"/>
        </w:tabs>
        <w:spacing w:line="560" w:lineRule="exact"/>
        <w:ind w:left="0" w:leftChars="0" w:right="368" w:rightChars="17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总监票人（签名）：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；监票人：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（签名）：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；计票人（签名）：</w:t>
      </w:r>
    </w:p>
    <w:p w14:paraId="09366821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2646197-6364-4649-9227-11B3EB431F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3D1E30-C6D9-43AA-9594-3E7A5EC481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B969B9A-4628-4DE0-B81D-5B948AB32D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2B7A82-CF32-405F-9699-E3AB3A2033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64DDE5B-9F7B-4C5D-BC54-8B973A6410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ECD2BA59-BCD2-4F4A-A6BB-5214C22CE5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1B6D5F2-BC09-4BD2-AEE2-1F73A5ED6E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E32D4"/>
    <w:multiLevelType w:val="singleLevel"/>
    <w:tmpl w:val="E7BE32D4"/>
    <w:lvl w:ilvl="0" w:tentative="0">
      <w:start w:val="3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259F2"/>
    <w:rsid w:val="24755DEF"/>
    <w:rsid w:val="2BA2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4241</Words>
  <Characters>4395</Characters>
  <Lines>0</Lines>
  <Paragraphs>0</Paragraphs>
  <TotalTime>1</TotalTime>
  <ScaleCrop>false</ScaleCrop>
  <LinksUpToDate>false</LinksUpToDate>
  <CharactersWithSpaces>5151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2022-12-15T10:36:00Z</dcterms:created>
  <dc:creator>Administrator</dc:creator>
  <cp:lastModifiedBy>阳光</cp:lastModifiedBy>
  <dcterms:modified xsi:type="dcterms:W3CDTF">2025-04-25T09:52:07Z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eyJoZGlkIjoiYjJjOTQxYzhjODMyMDAzZmE0MDJkMWFkNmJlNDkwYTUiLCJ1c2VySWQiOiIzMjg2MjExNTIifQ==</vt:lpwstr>
  </property>
  <property fmtid="{D5CDD505-2E9C-101B-9397-08002B2CF9AE}" pid="4" name="ICV">
    <vt:lpwstr>72E245B813BB4380B7172F7726DBB739_12</vt:lpwstr>
  </property>
</Properties>
</file>