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全省性行业协会商会收费自查自纠情况表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（2021年6月1日-2022年5月31日）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66"/>
        <w:tblOverlap w:val="never"/>
        <w:tblW w:w="14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11"/>
        <w:gridCol w:w="1111"/>
        <w:gridCol w:w="554"/>
        <w:gridCol w:w="554"/>
        <w:gridCol w:w="554"/>
        <w:gridCol w:w="554"/>
        <w:gridCol w:w="554"/>
        <w:gridCol w:w="765"/>
        <w:gridCol w:w="765"/>
        <w:gridCol w:w="1105"/>
        <w:gridCol w:w="1105"/>
        <w:gridCol w:w="1105"/>
        <w:gridCol w:w="1105"/>
        <w:gridCol w:w="1105"/>
        <w:gridCol w:w="1105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单位性质（财政保障/非财政保障）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收费性质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收费内容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收费依据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收费对象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标准（元）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pacing w:val="-11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(万元)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如取消，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取消金额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如减免，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减免金额（万元）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如缓缴，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缓缴金额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自查情况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推动本行业企业为其他市场主体让利情况及减轻企业负担金额（万元）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为行业争取帮扶支持政策情况及因此减轻企业负担金额               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81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收费项目：有多项收费的，要列出具体收费项目名称；同一收费项目多次开展的可以合并填报。比如，会费、**培训费、**考试费、**咨询费、**鉴定费、**会议费等等；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收费性质：包括会费、经营服务性收费、行政事业性收费、接受捐赠等；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服务内容：主要填写该收费项目所提供服务的主要内容；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收费依据：指有关法律、法规、规章或规范性文件，经会员代表大会、理事会、常务理事会审议通过，或者双方协商自主确定等等；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减免金额：指按照国家有关政策要求或协会主动减免收费金额，比如对生产经营困难会员减免的会费金额等；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自查情况：对照此次《通知》和有关法规政策文件要求自查是否属于违法违规收费；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7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w w:val="95"/>
                <w:sz w:val="21"/>
                <w:szCs w:val="21"/>
                <w:u w:val="none"/>
              </w:rPr>
              <w:t xml:space="preserve">整改情况：如属于违法违规收费，要填写具体整改工作落实情况。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填表单位：                            联系人：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手机：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355E5"/>
    <w:rsid w:val="469E0B2D"/>
    <w:rsid w:val="473F7756"/>
    <w:rsid w:val="49836F56"/>
    <w:rsid w:val="4B55688D"/>
    <w:rsid w:val="573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2021-09-16T08:51:00Z</dcterms:created>
  <dc:creator>ChenWei</dc:creator>
  <cp:lastModifiedBy>王若筠</cp:lastModifiedBy>
  <dcterms:modified xsi:type="dcterms:W3CDTF">2022-07-14T03:22:43Z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