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95" w:hanging="419" w:hangingChars="131"/>
        <w:rPr>
          <w:rFonts w:hint="eastAsia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附件</w:t>
      </w:r>
    </w:p>
    <w:tbl>
      <w:tblPr>
        <w:tblStyle w:val="5"/>
        <w:tblW w:w="14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74"/>
        <w:gridCol w:w="1700"/>
        <w:gridCol w:w="1560"/>
        <w:gridCol w:w="1417"/>
        <w:gridCol w:w="1985"/>
        <w:gridCol w:w="1701"/>
        <w:gridCol w:w="1420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color w:val="000000"/>
                <w:kern w:val="0"/>
                <w:sz w:val="36"/>
                <w:szCs w:val="36"/>
              </w:rPr>
              <w:t>校外培训机构登记情况表（截至2021年</w:t>
            </w:r>
            <w:r>
              <w:rPr>
                <w:rFonts w:hint="eastAsia" w:ascii="宋体" w:hAnsi="宋体" w:cs="方正小标宋简体"/>
                <w:b/>
                <w:bCs/>
                <w:color w:val="000000"/>
                <w:kern w:val="0"/>
                <w:sz w:val="36"/>
                <w:szCs w:val="36"/>
              </w:rPr>
              <w:t>底</w:t>
            </w:r>
            <w:r>
              <w:rPr>
                <w:rFonts w:hint="eastAsia" w:ascii="宋体" w:hAnsi="宋体" w:eastAsia="宋体" w:cs="方正小标宋简体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</w:p>
          <w:p>
            <w:pPr>
              <w:widowControl w:val="0"/>
              <w:ind w:firstLine="1200" w:firstLineChars="500"/>
              <w:jc w:val="both"/>
              <w:textAlignment w:val="center"/>
              <w:rPr>
                <w:rFonts w:ascii="宋体" w:hAnsi="宋体" w:eastAsia="宋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填表单位：                 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省（自治区、直辖市）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民政部门登记校外培训机构总量</w:t>
            </w:r>
          </w:p>
        </w:tc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配合教育部门清理不合规校外培训机构数量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原在市场监管部门登记，《意见》印发后按照统一登记有关规定到民政部门登记的</w:t>
            </w:r>
          </w:p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培训机构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业务范围涉及义务教育阶段学科类校外培训的机构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业务范围涉及高中阶段学科类校外培训的机构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业务范围涉及学龄前儿童培训的</w:t>
            </w:r>
          </w:p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业务范围涉及非学科类校外培训的机构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开展线上</w:t>
            </w:r>
          </w:p>
          <w:p>
            <w:pPr>
              <w:jc w:val="center"/>
              <w:textAlignment w:val="baseline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培训的机构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XX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XX市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总量（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、自治区、直辖市）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</w:tbl>
    <w:p>
      <w:pPr>
        <w:overflowPunct w:val="0"/>
        <w:spacing w:line="440" w:lineRule="exact"/>
        <w:ind w:firstLine="240" w:firstLineChars="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注：本表所称校外培训机构，是指中共中央办公厅、国务院办公厅《关于进一步减轻义务教育阶段学生作业负担和校外培训负担的意见》涉及的面向学龄前儿童、义务教育阶段学生、高中阶段学生的学科类和非学科类校外培训机构，不涉及职业培训机构以及面向成人的培训机构。</w:t>
      </w:r>
    </w:p>
    <w:p>
      <w:pPr>
        <w:overflowPunct w:val="0"/>
        <w:spacing w:line="440" w:lineRule="exact"/>
        <w:ind w:firstLine="24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  <w:sectPr>
          <w:pgSz w:w="16838" w:h="11906" w:orient="landscape"/>
          <w:pgMar w:top="1531" w:right="2098" w:bottom="850" w:left="1985" w:header="851" w:footer="1588" w:gutter="0"/>
          <w:pgNumType w:fmt="numberInDash"/>
          <w:cols w:space="720" w:num="1"/>
          <w:titlePg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E1B58"/>
    <w:rsid w:val="49836F56"/>
    <w:rsid w:val="4B55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2021-09-16T08:51:00Z</dcterms:created>
  <dc:creator>ChenWei</dc:creator>
  <cp:lastModifiedBy>王若筠</cp:lastModifiedBy>
  <dcterms:modified xsi:type="dcterms:W3CDTF">2021-09-30T05:15:48Z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