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门户网站运维</w:t>
      </w:r>
    </w:p>
    <w:p>
      <w:pPr>
        <w:pStyle w:val="null3"/>
        <w:jc w:val="center"/>
        <w:outlineLvl w:val="2"/>
      </w:pPr>
      <w:r>
        <w:rPr>
          <w:b/>
          <w:sz w:val="28"/>
        </w:rPr>
        <w:t>备案编号：</w:t>
      </w:r>
      <w:r>
        <w:rPr>
          <w:b/>
          <w:sz w:val="28"/>
        </w:rPr>
        <w:t>CGXM-2023-350001-13914[2023]08973</w:t>
      </w:r>
    </w:p>
    <w:p>
      <w:pPr>
        <w:pStyle w:val="null3"/>
        <w:jc w:val="center"/>
        <w:outlineLvl w:val="2"/>
      </w:pPr>
      <w:r>
        <w:rPr>
          <w:b/>
          <w:sz w:val="28"/>
        </w:rPr>
        <w:t>项目编号：</w:t>
      </w:r>
      <w:r>
        <w:rPr>
          <w:b/>
          <w:sz w:val="28"/>
        </w:rPr>
        <w:t>[350001]ZYT[GK]2023029</w:t>
      </w:r>
    </w:p>
    <w:p>
      <w:pPr>
        <w:pStyle w:val="null3"/>
        <w:jc w:val="center"/>
        <w:outlineLvl w:val="2"/>
      </w:pPr>
      <w:r>
        <w:rPr>
          <w:b/>
          <w:sz w:val="28"/>
        </w:rPr>
        <w:t>采购人：</w:t>
      </w:r>
      <w:r>
        <w:rPr>
          <w:b/>
          <w:sz w:val="28"/>
        </w:rPr>
        <w:t>福建省民政厅（大财务）</w:t>
      </w:r>
    </w:p>
    <w:p>
      <w:pPr>
        <w:pStyle w:val="null3"/>
        <w:jc w:val="center"/>
        <w:outlineLvl w:val="2"/>
      </w:pPr>
      <w:r>
        <w:rPr>
          <w:b/>
          <w:sz w:val="28"/>
        </w:rPr>
        <w:t>代理机构：</w:t>
      </w:r>
      <w:r>
        <w:rPr>
          <w:b/>
          <w:sz w:val="28"/>
        </w:rPr>
        <w:t>福建省中亿通招标咨询有限公司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福建省中亿通招标咨询有限公司</w:t>
      </w:r>
      <w:r>
        <w:rPr/>
        <w:t xml:space="preserve"> 采用公开招标方式组织 </w:t>
      </w:r>
      <w:r>
        <w:rPr/>
        <w:t>门户网站运维</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CGXM-2023-350001-13914[2023]08973</w:t>
      </w:r>
    </w:p>
    <w:p>
      <w:pPr>
        <w:pStyle w:val="null3"/>
        <w:ind w:firstLine="480"/>
        <w:jc w:val="left"/>
        <w:outlineLvl w:val="2"/>
      </w:pPr>
      <w:r>
        <w:rPr>
          <w:b/>
          <w:sz w:val="28"/>
        </w:rPr>
        <w:t>2、项目编号</w:t>
      </w:r>
      <w:r>
        <w:rPr>
          <w:b/>
          <w:sz w:val="28"/>
        </w:rPr>
        <w:t>：</w:t>
      </w:r>
      <w:r>
        <w:rPr>
          <w:b/>
          <w:sz w:val="28"/>
        </w:rPr>
        <w:t>[350001]ZYT[GK]2023029</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服务类采购项目，本项目（采购标的）中小企业划分标准所属行业为软件和信息技术服务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福建省民政厅（大财务）</w:t>
      </w:r>
    </w:p>
    <w:p>
      <w:pPr>
        <w:pStyle w:val="null3"/>
        <w:ind w:firstLine="960"/>
        <w:jc w:val="left"/>
      </w:pPr>
    </w:p>
    <w:p>
      <w:pPr>
        <w:pStyle w:val="null3"/>
        <w:jc w:val="left"/>
      </w:pPr>
    </w:p>
    <w:p>
      <w:pPr>
        <w:pStyle w:val="null3"/>
        <w:jc w:val="left"/>
      </w:pPr>
      <w:r>
        <w:rPr/>
        <w:t xml:space="preserve"> 地址： </w:t>
      </w:r>
      <w:r>
        <w:rPr/>
        <w:t>福建省福州市鼓东路44号</w:t>
      </w:r>
    </w:p>
    <w:p>
      <w:pPr>
        <w:pStyle w:val="null3"/>
        <w:jc w:val="left"/>
      </w:pPr>
      <w:r>
        <w:rPr/>
        <w:t xml:space="preserve"> 邮编： </w:t>
      </w:r>
      <w:r>
        <w:rPr/>
        <w:t>350001</w:t>
      </w:r>
    </w:p>
    <w:p>
      <w:pPr>
        <w:pStyle w:val="null3"/>
        <w:jc w:val="left"/>
      </w:pPr>
      <w:r>
        <w:rPr/>
        <w:t xml:space="preserve"> 联系人： </w:t>
      </w:r>
      <w:r>
        <w:rPr/>
        <w:t>林静</w:t>
      </w:r>
    </w:p>
    <w:p>
      <w:pPr>
        <w:pStyle w:val="null3"/>
        <w:jc w:val="left"/>
      </w:pPr>
      <w:r>
        <w:rPr/>
        <w:t xml:space="preserve"> 联系电话： </w:t>
      </w:r>
      <w:r>
        <w:rPr/>
        <w:t>059183569291</w:t>
      </w:r>
    </w:p>
    <w:p>
      <w:pPr>
        <w:pStyle w:val="null3"/>
        <w:ind w:firstLine="480"/>
        <w:jc w:val="left"/>
        <w:outlineLvl w:val="2"/>
      </w:pPr>
      <w:r>
        <w:rPr>
          <w:b/>
          <w:sz w:val="28"/>
        </w:rPr>
        <w:t>12、代理机构</w:t>
      </w:r>
      <w:r>
        <w:rPr>
          <w:b/>
          <w:sz w:val="28"/>
        </w:rPr>
        <w:t>：</w:t>
      </w:r>
      <w:r>
        <w:rPr>
          <w:b/>
          <w:sz w:val="28"/>
        </w:rPr>
        <w:t>福建省中亿通招标咨询有限公司</w:t>
      </w:r>
    </w:p>
    <w:p>
      <w:pPr>
        <w:pStyle w:val="null3"/>
        <w:ind w:firstLine="960"/>
        <w:jc w:val="both"/>
      </w:pPr>
    </w:p>
    <w:p>
      <w:pPr>
        <w:pStyle w:val="null3"/>
        <w:jc w:val="both"/>
      </w:pPr>
    </w:p>
    <w:p>
      <w:pPr>
        <w:pStyle w:val="null3"/>
        <w:jc w:val="both"/>
      </w:pPr>
      <w:r>
        <w:rPr/>
        <w:t xml:space="preserve"> 地址： </w:t>
      </w:r>
      <w:r>
        <w:rPr/>
        <w:t>福建省福州市鼓楼区洪山镇工业路东侧、福三路北侧洪山园地块华润万象城（三期）S11#楼19层10-16办公</w:t>
      </w:r>
    </w:p>
    <w:p>
      <w:pPr>
        <w:pStyle w:val="null3"/>
        <w:jc w:val="both"/>
      </w:pPr>
      <w:r>
        <w:rPr/>
        <w:t xml:space="preserve"> 邮编： </w:t>
      </w:r>
      <w:r>
        <w:rPr/>
        <w:t>350025</w:t>
      </w:r>
    </w:p>
    <w:p>
      <w:pPr>
        <w:pStyle w:val="null3"/>
        <w:jc w:val="both"/>
      </w:pPr>
      <w:r>
        <w:rPr/>
        <w:t xml:space="preserve"> 联系人： </w:t>
      </w:r>
      <w:r>
        <w:rPr/>
        <w:t>350001</w:t>
      </w:r>
    </w:p>
    <w:p>
      <w:pPr>
        <w:pStyle w:val="null3"/>
        <w:jc w:val="both"/>
      </w:pPr>
      <w:r>
        <w:rPr/>
        <w:t xml:space="preserve"> 联系电话： </w:t>
      </w:r>
      <w:r>
        <w:rPr/>
        <w:t>0591-87527653</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p>
            <w:pPr>
              <w:pStyle w:val="null3"/>
              <w:jc w:val="center"/>
            </w:pPr>
          </w:p>
        </w:tc>
      </w:tr>
      <w:tr>
        <w:tc>
          <w:tcPr>
            <w:tcW w:type="dxa" w:w="8306"/>
          </w:tcPr>
          <w:p>
            <w:pPr>
              <w:pStyle w:val="null3"/>
            </w:pPr>
            <w:r>
              <w:rPr/>
              <w:t xml:space="preserve">开户名称： </w:t>
            </w:r>
            <w:r>
              <w:rPr/>
              <w:t>福建省中亿通招标咨询有限公司</w:t>
            </w:r>
          </w:p>
        </w:tc>
      </w:tr>
      <w:tr>
        <w:tc>
          <w:tcPr>
            <w:tcW w:type="dxa" w:w="8306"/>
          </w:tcPr>
          <w:p>
            <w:pPr>
              <w:pStyle w:val="null3"/>
            </w:pPr>
            <w:r>
              <w:rPr/>
              <w:t>开户银行：供应商在福建省政府采购网上公开信息系统获取招标文件后，根据其提示自行选择要缴交的投标保证金托管银行。</w:t>
            </w:r>
          </w:p>
        </w:tc>
      </w:tr>
      <w:tr>
        <w:tc>
          <w:tcPr>
            <w:tcW w:type="dxa" w:w="8306"/>
          </w:tcPr>
          <w:p>
            <w:pPr>
              <w:pStyle w:val="null3"/>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t>特别提示</w:t>
            </w:r>
          </w:p>
        </w:tc>
      </w:tr>
      <w:tr>
        <w:tc>
          <w:tcPr>
            <w:tcW w:type="dxa" w:w="8306"/>
          </w:tcPr>
          <w:p>
            <w:pPr>
              <w:pStyle w:val="null3"/>
            </w:pPr>
            <w:r>
              <w:rPr/>
              <w:t>1、投标人应认真核对账户信息，将投标保证金汇入以上账户，并自行承担因汇错投标保证金而产生的一切后果。</w:t>
            </w:r>
          </w:p>
          <w:p>
            <w:pPr>
              <w:pStyle w:val="null3"/>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170,000.00</w:t>
      </w:r>
    </w:p>
    <w:p>
      <w:pPr>
        <w:pStyle w:val="null3"/>
        <w:jc w:val="left"/>
      </w:pPr>
      <w:r>
        <w:rPr/>
        <w:t>采购包最高限价（元）: 170,000.00</w:t>
      </w:r>
    </w:p>
    <w:p>
      <w:pPr>
        <w:pStyle w:val="null3"/>
        <w:jc w:val="left"/>
      </w:pPr>
      <w:r>
        <w:rPr/>
        <w:t>采购包保证金金额（元）: 1,700.00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门户网站运维</w:t>
            </w:r>
          </w:p>
        </w:tc>
        <w:tc>
          <w:tcPr>
            <w:tcW w:type="dxa" w:w="1187"/>
          </w:tcPr>
          <w:p>
            <w:pPr>
              <w:pStyle w:val="null3"/>
              <w:jc w:val="right"/>
            </w:pPr>
            <w:r>
              <w:rPr/>
              <w:t>1.00</w:t>
            </w:r>
          </w:p>
        </w:tc>
        <w:tc>
          <w:tcPr>
            <w:tcW w:type="dxa" w:w="1187"/>
          </w:tcPr>
          <w:p>
            <w:pPr>
              <w:pStyle w:val="null3"/>
              <w:jc w:val="right"/>
            </w:pPr>
            <w:r>
              <w:rPr/>
              <w:t>170,000.00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t>特别提示：本表与招标文件对应章节的内容若不一致，以本表为准。</w:t>
            </w:r>
          </w:p>
        </w:tc>
      </w:tr>
      <w:tr>
        <w:tc>
          <w:tcPr>
            <w:tcW w:type="dxa" w:w="2769"/>
          </w:tcPr>
          <w:p>
            <w:pPr>
              <w:pStyle w:val="null3"/>
            </w:pPr>
            <w:r>
              <w:rPr/>
              <w:t>序号</w:t>
            </w:r>
          </w:p>
        </w:tc>
        <w:tc>
          <w:tcPr>
            <w:tcW w:type="dxa" w:w="2769"/>
          </w:tcPr>
          <w:p>
            <w:pPr>
              <w:pStyle w:val="null3"/>
            </w:pPr>
            <w:r>
              <w:rPr/>
              <w:t>招标文件</w:t>
            </w:r>
          </w:p>
          <w:p>
            <w:pPr>
              <w:pStyle w:val="null3"/>
            </w:pPr>
          </w:p>
          <w:p>
            <w:pPr>
              <w:pStyle w:val="null3"/>
            </w:pPr>
            <w:r>
              <w:rPr/>
              <w:t xml:space="preserve"> （第三章）</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6.1</w:t>
            </w:r>
          </w:p>
        </w:tc>
        <w:tc>
          <w:tcPr>
            <w:tcW w:type="dxa" w:w="2769"/>
          </w:tcPr>
          <w:p>
            <w:pPr>
              <w:pStyle w:val="null3"/>
            </w:pPr>
            <w:r>
              <w:rPr/>
              <w:t>是否组织现场考察或召开开标前答疑会：</w:t>
            </w:r>
          </w:p>
          <w:p>
            <w:pPr>
              <w:pStyle w:val="null3"/>
            </w:pPr>
          </w:p>
          <w:p>
            <w:pPr>
              <w:pStyle w:val="null3"/>
            </w:pPr>
          </w:p>
          <w:p>
            <w:pPr>
              <w:pStyle w:val="null3"/>
            </w:pPr>
            <w:r>
              <w:rPr/>
              <w:t>采购包1：不组织</w:t>
            </w:r>
          </w:p>
        </w:tc>
      </w:tr>
      <w:tr>
        <w:tc>
          <w:tcPr>
            <w:tcW w:type="dxa" w:w="2769"/>
          </w:tcPr>
          <w:p>
            <w:pPr>
              <w:pStyle w:val="null3"/>
            </w:pPr>
            <w:r>
              <w:rPr/>
              <w:t>2</w:t>
            </w:r>
          </w:p>
        </w:tc>
        <w:tc>
          <w:tcPr>
            <w:tcW w:type="dxa" w:w="2769"/>
          </w:tcPr>
          <w:p>
            <w:pPr>
              <w:pStyle w:val="null3"/>
            </w:pPr>
            <w:r>
              <w:rPr/>
              <w:t>10.4</w:t>
            </w:r>
          </w:p>
        </w:tc>
        <w:tc>
          <w:tcPr>
            <w:tcW w:type="dxa" w:w="2769"/>
          </w:tcPr>
          <w:p>
            <w:pPr>
              <w:pStyle w:val="null3"/>
            </w:pPr>
            <w:r>
              <w:rPr/>
              <w:t>投标文件的份数：</w:t>
            </w:r>
          </w:p>
          <w:p>
            <w:pPr>
              <w:pStyle w:val="null3"/>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pPr>
            <w:r>
              <w:rPr/>
              <w:t xml:space="preserve"> （2）电子投标文件：详见投标人须知前附表2《关于电子招标投标活动的专门规定》。</w:t>
            </w:r>
          </w:p>
        </w:tc>
      </w:tr>
      <w:tr>
        <w:tc>
          <w:tcPr>
            <w:tcW w:type="dxa" w:w="2769"/>
          </w:tcPr>
          <w:p>
            <w:pPr>
              <w:pStyle w:val="null3"/>
            </w:pPr>
            <w:r>
              <w:rPr/>
              <w:t>3</w:t>
            </w:r>
          </w:p>
        </w:tc>
        <w:tc>
          <w:tcPr>
            <w:tcW w:type="dxa" w:w="2769"/>
          </w:tcPr>
          <w:p>
            <w:pPr>
              <w:pStyle w:val="null3"/>
            </w:pPr>
            <w:r>
              <w:rPr/>
              <w:t>10.7-（1）</w:t>
            </w:r>
          </w:p>
        </w:tc>
        <w:tc>
          <w:tcPr>
            <w:tcW w:type="dxa" w:w="2769"/>
          </w:tcPr>
          <w:p>
            <w:pPr>
              <w:pStyle w:val="null3"/>
            </w:pPr>
            <w:r>
              <w:rPr/>
              <w:t>是否允许中标人将本项目的非主体、非关键性工作进行分包：</w:t>
            </w:r>
          </w:p>
          <w:p>
            <w:pPr>
              <w:pStyle w:val="null3"/>
            </w:pPr>
          </w:p>
          <w:p>
            <w:pPr>
              <w:pStyle w:val="null3"/>
            </w:pPr>
          </w:p>
          <w:p>
            <w:pPr>
              <w:pStyle w:val="null3"/>
            </w:pPr>
          </w:p>
          <w:p>
            <w:pPr>
              <w:pStyle w:val="null3"/>
            </w:pPr>
            <w:r>
              <w:rPr/>
              <w:t>采购包1：不允许合同分包；</w:t>
            </w:r>
          </w:p>
        </w:tc>
      </w:tr>
      <w:tr>
        <w:tc>
          <w:tcPr>
            <w:tcW w:type="dxa" w:w="2769"/>
          </w:tcPr>
          <w:p>
            <w:pPr>
              <w:pStyle w:val="null3"/>
            </w:pPr>
            <w:r>
              <w:rPr/>
              <w:t>4</w:t>
            </w:r>
          </w:p>
        </w:tc>
        <w:tc>
          <w:tcPr>
            <w:tcW w:type="dxa" w:w="2769"/>
          </w:tcPr>
          <w:p>
            <w:pPr>
              <w:pStyle w:val="null3"/>
            </w:pPr>
            <w:r>
              <w:rPr/>
              <w:t>10.8-（1）</w:t>
            </w:r>
          </w:p>
        </w:tc>
        <w:tc>
          <w:tcPr>
            <w:tcW w:type="dxa" w:w="2769"/>
          </w:tcPr>
          <w:p>
            <w:pPr>
              <w:pStyle w:val="null3"/>
            </w:pPr>
            <w:r>
              <w:rPr/>
              <w:t xml:space="preserve">投标有效期：投标截止时间起 </w:t>
            </w:r>
            <w:r>
              <w:rPr/>
              <w:t>90</w:t>
            </w:r>
            <w:r>
              <w:rPr/>
              <w:t xml:space="preserve"> 个日历日。</w:t>
            </w:r>
          </w:p>
        </w:tc>
      </w:tr>
      <w:tr>
        <w:tc>
          <w:tcPr>
            <w:tcW w:type="dxa" w:w="2769"/>
          </w:tcPr>
          <w:p>
            <w:pPr>
              <w:pStyle w:val="null3"/>
            </w:pPr>
            <w:r>
              <w:rPr/>
              <w:t>5</w:t>
            </w:r>
          </w:p>
        </w:tc>
        <w:tc>
          <w:tcPr>
            <w:tcW w:type="dxa" w:w="2769"/>
          </w:tcPr>
          <w:p>
            <w:pPr>
              <w:pStyle w:val="null3"/>
            </w:pPr>
            <w:r>
              <w:rPr/>
              <w:t>12.1</w:t>
            </w:r>
          </w:p>
        </w:tc>
        <w:tc>
          <w:tcPr>
            <w:tcW w:type="dxa" w:w="2769"/>
          </w:tcPr>
          <w:p>
            <w:pPr>
              <w:pStyle w:val="null3"/>
            </w:pPr>
            <w:r>
              <w:rPr/>
              <w:t>确定中标候选人名单：</w:t>
            </w:r>
          </w:p>
          <w:p>
            <w:pPr>
              <w:pStyle w:val="null3"/>
            </w:pPr>
          </w:p>
          <w:p>
            <w:pPr>
              <w:pStyle w:val="null3"/>
            </w:pPr>
            <w:r>
              <w:rPr/>
              <w:t>采购包1：1名</w:t>
            </w:r>
          </w:p>
        </w:tc>
      </w:tr>
      <w:tr>
        <w:tc>
          <w:tcPr>
            <w:tcW w:type="dxa" w:w="2769"/>
          </w:tcPr>
          <w:p>
            <w:pPr>
              <w:pStyle w:val="null3"/>
            </w:pPr>
            <w:r>
              <w:rPr/>
              <w:t>6</w:t>
            </w:r>
          </w:p>
        </w:tc>
        <w:tc>
          <w:tcPr>
            <w:tcW w:type="dxa" w:w="2769"/>
          </w:tcPr>
          <w:p>
            <w:pPr>
              <w:pStyle w:val="null3"/>
            </w:pPr>
            <w:r>
              <w:rPr/>
              <w:t>12.2</w:t>
            </w:r>
          </w:p>
        </w:tc>
        <w:tc>
          <w:tcPr>
            <w:tcW w:type="dxa" w:w="2769"/>
          </w:tcPr>
          <w:p>
            <w:pPr>
              <w:pStyle w:val="null3"/>
            </w:pPr>
            <w:r>
              <w:rPr/>
              <w:t>本项目中标人的确定（以采购包为单位）：</w:t>
            </w:r>
          </w:p>
          <w:p>
            <w:pPr>
              <w:pStyle w:val="null3"/>
            </w:pPr>
            <w:r>
              <w:rPr/>
              <w:t xml:space="preserve"> （1） </w:t>
            </w:r>
            <w:r>
              <w:rPr/>
              <w:t>采购人应在政府采购招投标管理办法规定的时限内确定中标人。</w:t>
            </w:r>
          </w:p>
          <w:p>
            <w:pPr>
              <w:pStyle w:val="null3"/>
            </w:pPr>
            <w:r>
              <w:rPr/>
              <w:t xml:space="preserve"> （2）若出现中标候选人并列情形，则按照下列方式确定中标人：</w:t>
            </w:r>
          </w:p>
          <w:p>
            <w:pPr>
              <w:pStyle w:val="null3"/>
            </w:pPr>
            <w:r>
              <w:rPr/>
              <w:t xml:space="preserve"> ①招标文件规定的方式：</w:t>
            </w:r>
          </w:p>
          <w:p>
            <w:pPr>
              <w:pStyle w:val="null3"/>
            </w:pPr>
            <w:r>
              <w:rPr/>
              <w:t>无。</w:t>
            </w:r>
          </w:p>
          <w:p>
            <w:pPr>
              <w:pStyle w:val="null3"/>
            </w:pPr>
            <w:r>
              <w:rPr/>
              <w:t xml:space="preserve"> ②若本款第①点规定方式为“无”，则按照下列方式确定：</w:t>
            </w:r>
          </w:p>
          <w:p>
            <w:pPr>
              <w:pStyle w:val="null3"/>
            </w:pPr>
            <w:r>
              <w:rPr/>
              <w:t>无。</w:t>
            </w:r>
          </w:p>
          <w:p>
            <w:pPr>
              <w:pStyle w:val="null3"/>
            </w:pPr>
            <w:r>
              <w:rPr/>
              <w:t xml:space="preserve"> ③若本款第①、②点规定方式均为“无”，则按照下列方式确定：随机抽取。</w:t>
            </w:r>
          </w:p>
          <w:p>
            <w:pPr>
              <w:pStyle w:val="null3"/>
            </w:pPr>
            <w:r>
              <w:rPr/>
              <w:t xml:space="preserve"> （3）本项目确定的中标人家数：</w:t>
            </w:r>
          </w:p>
          <w:p>
            <w:pPr>
              <w:pStyle w:val="null3"/>
            </w:pPr>
          </w:p>
          <w:p>
            <w:pPr>
              <w:pStyle w:val="null3"/>
            </w:pPr>
            <w:r>
              <w:rPr/>
              <w:t>采购包1：1名</w:t>
            </w:r>
          </w:p>
        </w:tc>
      </w:tr>
      <w:tr>
        <w:tc>
          <w:tcPr>
            <w:tcW w:type="dxa" w:w="2769"/>
          </w:tcPr>
          <w:p>
            <w:pPr>
              <w:pStyle w:val="null3"/>
            </w:pPr>
            <w:r>
              <w:rPr/>
              <w:t>7</w:t>
            </w:r>
          </w:p>
        </w:tc>
        <w:tc>
          <w:tcPr>
            <w:tcW w:type="dxa" w:w="2769"/>
          </w:tcPr>
          <w:p>
            <w:pPr>
              <w:pStyle w:val="null3"/>
            </w:pPr>
            <w:r>
              <w:rPr/>
              <w:t>13.2</w:t>
            </w:r>
          </w:p>
        </w:tc>
        <w:tc>
          <w:tcPr>
            <w:tcW w:type="dxa" w:w="2769"/>
          </w:tcPr>
          <w:p>
            <w:pPr>
              <w:pStyle w:val="null3"/>
            </w:pPr>
            <w:r>
              <w:rPr/>
              <w:t xml:space="preserve">合同签订时限： </w:t>
            </w:r>
            <w:r>
              <w:rPr/>
              <w:t>自中标通知书发出之日起30个日历日内。</w:t>
            </w:r>
          </w:p>
        </w:tc>
      </w:tr>
      <w:tr>
        <w:tc>
          <w:tcPr>
            <w:tcW w:type="dxa" w:w="2769"/>
          </w:tcPr>
          <w:p>
            <w:pPr>
              <w:pStyle w:val="null3"/>
            </w:pPr>
            <w:r>
              <w:rPr/>
              <w:t>8</w:t>
            </w:r>
          </w:p>
        </w:tc>
        <w:tc>
          <w:tcPr>
            <w:tcW w:type="dxa" w:w="2769"/>
          </w:tcPr>
          <w:p>
            <w:pPr>
              <w:pStyle w:val="null3"/>
            </w:pPr>
            <w:r>
              <w:rPr/>
              <w:t>15.1-（2）</w:t>
            </w:r>
          </w:p>
        </w:tc>
        <w:tc>
          <w:tcPr>
            <w:tcW w:type="dxa" w:w="2769"/>
          </w:tcPr>
          <w:p>
            <w:pPr>
              <w:pStyle w:val="null3"/>
            </w:pPr>
            <w:r>
              <w:rPr/>
              <w:t>质疑函原件应采用下列方式提交：书面形式。</w:t>
            </w:r>
          </w:p>
        </w:tc>
      </w:tr>
      <w:tr>
        <w:tc>
          <w:tcPr>
            <w:tcW w:type="dxa" w:w="2769"/>
          </w:tcPr>
          <w:p>
            <w:pPr>
              <w:pStyle w:val="null3"/>
            </w:pPr>
            <w:r>
              <w:rPr/>
              <w:t>9</w:t>
            </w:r>
          </w:p>
        </w:tc>
        <w:tc>
          <w:tcPr>
            <w:tcW w:type="dxa" w:w="2769"/>
          </w:tcPr>
          <w:p>
            <w:pPr>
              <w:pStyle w:val="null3"/>
            </w:pPr>
            <w:r>
              <w:rPr/>
              <w:t>15.4</w:t>
            </w:r>
          </w:p>
        </w:tc>
        <w:tc>
          <w:tcPr>
            <w:tcW w:type="dxa" w:w="2769"/>
          </w:tcPr>
          <w:p>
            <w:pPr>
              <w:pStyle w:val="null3"/>
            </w:pPr>
            <w:r>
              <w:rPr/>
              <w:t>招标文件的质疑</w:t>
            </w:r>
          </w:p>
          <w:p>
            <w:pPr>
              <w:pStyle w:val="null3"/>
            </w:pPr>
            <w:r>
              <w:rPr/>
              <w:t xml:space="preserve"> （1）潜在投标人可在质疑时效期间内对招标文件以书面形式提出质疑。</w:t>
            </w:r>
          </w:p>
          <w:p>
            <w:pPr>
              <w:pStyle w:val="null3"/>
            </w:pPr>
            <w:r>
              <w:rPr/>
              <w:t xml:space="preserve"> （2）质疑时效期间：应在依法获取招标文件之日起7个工作日内向 </w:t>
            </w:r>
            <w:r>
              <w:rPr/>
              <w:t>福建省中亿通招标咨询有限公司</w:t>
            </w:r>
            <w:r>
              <w:rPr/>
              <w:t xml:space="preserve"> 提出，依法获取招标文件的时间以福建省政府采购网上公开信息系统记载的为准。</w:t>
            </w:r>
          </w:p>
          <w:p>
            <w:pPr>
              <w:pStyle w:val="null3"/>
            </w:pPr>
            <w:r>
              <w:rPr/>
              <w:t xml:space="preserve"> ※除上述规定外，对招标文件提出的质疑还应符合招标文件第三章第15.1条的有关规定。</w:t>
            </w:r>
          </w:p>
        </w:tc>
      </w:tr>
      <w:tr>
        <w:tc>
          <w:tcPr>
            <w:tcW w:type="dxa" w:w="2769"/>
          </w:tcPr>
          <w:p>
            <w:pPr>
              <w:pStyle w:val="null3"/>
            </w:pPr>
            <w:r>
              <w:rPr/>
              <w:t>10</w:t>
            </w:r>
          </w:p>
        </w:tc>
        <w:tc>
          <w:tcPr>
            <w:tcW w:type="dxa" w:w="2769"/>
          </w:tcPr>
          <w:p>
            <w:pPr>
              <w:pStyle w:val="null3"/>
            </w:pPr>
            <w:r>
              <w:rPr/>
              <w:t>16.1</w:t>
            </w:r>
          </w:p>
        </w:tc>
        <w:tc>
          <w:tcPr>
            <w:tcW w:type="dxa" w:w="2769"/>
          </w:tcPr>
          <w:p>
            <w:pPr>
              <w:pStyle w:val="null3"/>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pPr>
            <w:r>
              <w:rPr/>
              <w:t>11</w:t>
            </w:r>
          </w:p>
        </w:tc>
        <w:tc>
          <w:tcPr>
            <w:tcW w:type="dxa" w:w="2769"/>
          </w:tcPr>
          <w:p>
            <w:pPr>
              <w:pStyle w:val="null3"/>
            </w:pPr>
            <w:r>
              <w:rPr/>
              <w:t>18.1</w:t>
            </w:r>
          </w:p>
        </w:tc>
        <w:tc>
          <w:tcPr>
            <w:tcW w:type="dxa" w:w="2769"/>
          </w:tcPr>
          <w:p>
            <w:pPr>
              <w:pStyle w:val="null3"/>
            </w:pPr>
            <w:r>
              <w:rPr/>
              <w:t>财政部和福建省财政厅指定的政府采购信息发布媒体（以下简称：“指定媒体”）：</w:t>
            </w:r>
          </w:p>
          <w:p>
            <w:pPr>
              <w:pStyle w:val="null3"/>
            </w:pPr>
            <w:r>
              <w:rPr/>
              <w:t xml:space="preserve"> （1）中国政府采购网，网址www.ccgp.gov.cn。</w:t>
            </w:r>
          </w:p>
          <w:p>
            <w:pPr>
              <w:pStyle w:val="null3"/>
            </w:pPr>
            <w:r>
              <w:rPr/>
              <w:t xml:space="preserve"> （2）中国政府采购网福建分网（福建省政府采购网），网址zfcg.czt.fujian.gov.cn。</w:t>
            </w:r>
          </w:p>
          <w:p>
            <w:pPr>
              <w:pStyle w:val="null3"/>
            </w:pPr>
            <w:r>
              <w:rPr/>
              <w:t xml:space="preserve"> ※若出现上述指定媒体信息不一致情形，应以中国政府采购网福建分网（福建省政府采购网）发布的为准。</w:t>
            </w:r>
          </w:p>
        </w:tc>
      </w:tr>
      <w:tr>
        <w:tc>
          <w:tcPr>
            <w:tcW w:type="dxa" w:w="2769"/>
          </w:tcPr>
          <w:p>
            <w:pPr>
              <w:pStyle w:val="null3"/>
            </w:pPr>
            <w:r>
              <w:rPr/>
              <w:t>12</w:t>
            </w:r>
          </w:p>
        </w:tc>
        <w:tc>
          <w:tcPr>
            <w:tcW w:type="dxa" w:w="2769"/>
          </w:tcPr>
          <w:p>
            <w:pPr>
              <w:pStyle w:val="null3"/>
            </w:pPr>
            <w:r>
              <w:rPr/>
              <w:t>19</w:t>
            </w:r>
          </w:p>
        </w:tc>
        <w:tc>
          <w:tcPr>
            <w:tcW w:type="dxa" w:w="2769"/>
          </w:tcPr>
          <w:p>
            <w:pPr>
              <w:pStyle w:val="null3"/>
            </w:pPr>
            <w:r>
              <w:rPr/>
              <w:t>其他事项：</w:t>
            </w: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本项目代理服务费由中标人支付。2)代理服务费：按照中标金额的1.5%计算后乘以3年收取。3）代理服务费的缴纳方式：a.中标人应在领取中标通知书的同时按规定的标准一次性向采购代理机构缴纳代理服务费。b.代理服务费以银行转账、电汇、汇票或现金等付款方式交纳。4）代理服务费缴交账号：开户名：福建省中亿通招标咨询有限公司，开户行：中国工商银行股份有限公司福州屏山支行，账号：1402201009600007936。</w:t>
            </w:r>
          </w:p>
          <w:p>
            <w:pPr>
              <w:pStyle w:val="null3"/>
            </w:pPr>
            <w:r>
              <w:rPr/>
              <w:t xml:space="preserve"> (2)其他：</w:t>
            </w:r>
          </w:p>
          <w:p>
            <w:pPr>
              <w:pStyle w:val="null3"/>
            </w:pPr>
            <w:r>
              <w:rPr/>
              <w:t>19.1接收质疑函的方式、联系部门、联系电话和通讯地址：(1)接收质疑函原件的方式：书面形式；(2)接收质疑函的联系部门：办公室；(3)接收质疑函的联系电话：0591-87527653；(4)接收质疑函的通讯地址：福建省中亿通招标咨询有限公司（福建省福州市鼓楼区洪山镇工业路东侧、福三路北侧洪山园地块华润万象城（三期）S11#楼1910）(5)质疑人递交质疑函时还应出具质疑人已在福建省政府采购网上公开信息系统上获取招标文件的证明文件（体现查看时间或获取招标文件时间）。(6)在法定质疑期内供应商须一次性提出针对同一采购程序环节的质疑，若供应商多次对同一采购程序环节提出质疑的，代理机构将不予以受理。19.2投标人出现 《福建省财政厅关于电子化政府采购项目中视为串标情形认定与处理的指导意见》（闽财购〔2018〕30号）文中规定的视为串标情形的，其投标无效。</w:t>
            </w:r>
          </w:p>
        </w:tc>
      </w:tr>
      <w:tr>
        <w:tc>
          <w:tcPr>
            <w:tcW w:type="dxa" w:w="5538"/>
            <w:gridSpan w:val="2"/>
          </w:tcPr>
          <w:p>
            <w:pPr>
              <w:pStyle w:val="null3"/>
            </w:pPr>
            <w:r>
              <w:rPr/>
              <w:t>备注</w:t>
            </w:r>
          </w:p>
        </w:tc>
        <w:tc>
          <w:tcPr>
            <w:tcW w:type="dxa" w:w="2769"/>
          </w:tcPr>
          <w:p>
            <w:pPr>
              <w:pStyle w:val="null3"/>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关于电子招标投标活动的专门规定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（1）电子招标投标活动的专门规定适用本项目电子招标投标活动。</w:t>
            </w:r>
          </w:p>
          <w:p>
            <w:pPr>
              <w:pStyle w:val="null3"/>
            </w:pPr>
            <w:r>
              <w:rPr/>
              <w:t>（2）将招标文件</w:t>
            </w:r>
          </w:p>
          <w:p>
            <w:pPr>
              <w:pStyle w:val="null3"/>
            </w:pPr>
            <w:r>
              <w:rPr/>
              <w:t>/</w:t>
            </w:r>
            <w:r>
              <w:rPr/>
              <w:t xml:space="preserve"> 的内容修正为下列内容：</w:t>
            </w:r>
          </w:p>
          <w:p>
            <w:pPr>
              <w:pStyle w:val="null3"/>
            </w:pPr>
            <w:r>
              <w:rPr/>
              <w:t>/</w:t>
            </w:r>
            <w:r>
              <w:rPr/>
              <w:t xml:space="preserve"> 后适用本项目的电子招标投标活动。</w:t>
            </w:r>
          </w:p>
          <w:p>
            <w:pPr>
              <w:pStyle w:val="null3"/>
            </w:pPr>
            <w:r>
              <w:rPr/>
              <w:t>（3）将下列内容增列为招标文件的组成部分（以下简称：“增列内容”）适用本项目的电子招标投标活动，若增列内容与招标文件其他章节内容有冲突，应以增列内容为准：</w:t>
            </w:r>
          </w:p>
          <w:p>
            <w:pPr>
              <w:pStyle w:val="null3"/>
            </w:pPr>
            <w:r>
              <w:rPr/>
              <w:t>①电子招标投标活动的具体操作流程以福建省政府采购网上公开信息系统设定的为准。</w:t>
            </w:r>
          </w:p>
          <w:p>
            <w:pPr>
              <w:pStyle w:val="null3"/>
            </w:pPr>
            <w:r>
              <w:rPr/>
              <w:t>②关于电子投标文件：</w:t>
            </w:r>
          </w:p>
          <w:p>
            <w:pPr>
              <w:pStyle w:val="null3"/>
            </w:pPr>
            <w:r>
              <w:rPr/>
              <w:t>a.投标人应按照福建省政府采购网上公开信息系统设定的评审节点编制电子投标文件，否则资格审查小组、评标委员会将按照不利于投标人的内容进行认定。</w:t>
            </w:r>
          </w:p>
          <w:p>
            <w:pPr>
              <w:pStyle w:val="null3"/>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t>③关于证明材料或资料：</w:t>
            </w:r>
          </w:p>
          <w:p>
            <w:pPr>
              <w:pStyle w:val="null3"/>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t>④关于“全称”、“投标人代表签字”及“加盖单位公章”：</w:t>
            </w:r>
          </w:p>
          <w:p>
            <w:pPr>
              <w:pStyle w:val="null3"/>
            </w:pPr>
            <w:r>
              <w:rPr/>
              <w:t>a.在电子投标文件中，涉及“全称”和“投标人代表签字”的内容可使用打字录入方式完成。</w:t>
            </w:r>
          </w:p>
          <w:p>
            <w:pPr>
              <w:pStyle w:val="null3"/>
            </w:pPr>
            <w:r>
              <w:rPr/>
              <w:t>b.在电子投标文件中，涉及“加盖单位公章”的内容应使用投标人的CA证书完成，否则投标无效。</w:t>
            </w:r>
          </w:p>
          <w:p>
            <w:pPr>
              <w:pStyle w:val="null3"/>
            </w:pPr>
            <w:r>
              <w:rPr/>
              <w:t>c.在电子投标文件中，若投标人按照本增列内容第④点第b项规定加盖其单位公章，则出现无全称、或投标人代表未签字等情形，不视为投标无效。</w:t>
            </w:r>
          </w:p>
          <w:p>
            <w:pPr>
              <w:pStyle w:val="null3"/>
            </w:pPr>
            <w:r>
              <w:rPr/>
              <w:t>⑤关于投标人的CA证书：</w:t>
            </w:r>
          </w:p>
          <w:p>
            <w:pPr>
              <w:pStyle w:val="null3"/>
            </w:pPr>
            <w:r>
              <w:rPr/>
              <w:t>a.投标人的CA证书应在系统规定时间内使用CA证书进行电子投标文件的解密操作，逾期未解密的视为放弃投标。</w:t>
            </w:r>
          </w:p>
          <w:p>
            <w:pPr>
              <w:pStyle w:val="null3"/>
            </w:pPr>
            <w:r>
              <w:rPr/>
              <w:t>b.投标人的CA证书可采用信封（包括但不限于：信封、档案袋、文件袋等）作为外包装进行单独包装。外包装密封、不密封皆可。</w:t>
            </w:r>
          </w:p>
          <w:p>
            <w:pPr>
              <w:pStyle w:val="null3"/>
            </w:pPr>
            <w:r>
              <w:rPr/>
              <w:t>c.投标人的CA证书或外包装应标记“项目名称、项目编号、投标人的全称”等内容，以方便识别、使用。</w:t>
            </w:r>
          </w:p>
          <w:p>
            <w:pPr>
              <w:pStyle w:val="null3"/>
            </w:pPr>
            <w:r>
              <w:rPr/>
              <w:t>d.投标人的CA证书应能正常、有效使用，否则产生不利后果由投标人承担责任。</w:t>
            </w:r>
          </w:p>
          <w:p>
            <w:pPr>
              <w:pStyle w:val="null3"/>
            </w:pPr>
            <w:r>
              <w:rPr/>
              <w:t>⑥关于投标截止时间过后</w:t>
            </w:r>
          </w:p>
          <w:p>
            <w:pPr>
              <w:pStyle w:val="null3"/>
            </w:pPr>
            <w:r>
              <w:rPr/>
              <w:t>a.未按招标文件规定提交投标保证金的，其投标将按无效投标处理。</w:t>
            </w:r>
          </w:p>
          <w:p>
            <w:pPr>
              <w:pStyle w:val="null3"/>
            </w:pPr>
            <w:r>
              <w:rPr/>
              <w:t>b.有下列情形之一的，其投标无效,其保证金不予退还或通过投标保函进行索赔：</w:t>
            </w:r>
          </w:p>
          <w:p>
            <w:pPr>
              <w:pStyle w:val="null3"/>
            </w:pPr>
            <w:r>
              <w:rPr/>
              <w:t>b1不同投标人的电子投标文件具有相同内部识别码；</w:t>
            </w:r>
          </w:p>
          <w:p>
            <w:pPr>
              <w:pStyle w:val="null3"/>
            </w:pPr>
            <w:r>
              <w:rPr/>
              <w:t>b2不同投标人的投标保证金从同一单位或个人的账户转出；</w:t>
            </w:r>
          </w:p>
          <w:p>
            <w:pPr>
              <w:pStyle w:val="null3"/>
            </w:pPr>
            <w:r>
              <w:rPr/>
              <w:t>b3投标人的投标保证金同一采购包下有其他投标人提交的投标保证金；</w:t>
            </w:r>
          </w:p>
          <w:p>
            <w:pPr>
              <w:pStyle w:val="null3"/>
            </w:pPr>
            <w:r>
              <w:rPr/>
              <w:t>b4不同投标人存在串通投标的其他情形。</w:t>
            </w:r>
          </w:p>
          <w:p>
            <w:pPr>
              <w:pStyle w:val="null3"/>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t>⑧其他：</w:t>
            </w:r>
          </w:p>
          <w:p>
            <w:pPr>
              <w:pStyle w:val="null3"/>
            </w:pPr>
            <w:r>
              <w:rPr/>
              <w:t>a、本项目执行《关于福建省财政厅关于电子化政府采购项目中视为串标情形认定与处理的指导意见》（闽财购〔2018〕30号）规定。b、关于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福建省中亿通招标咨询有限公司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福建省中亿通招标咨询有限公司</w:t>
      </w:r>
      <w:r>
        <w:rPr/>
        <w:t xml:space="preserve"> 将在投标截止时间至少15个日历日前，在招标文件载明的指定媒体以更正公告的形式发布澄清或修改的内容。不足15个日历日的， </w:t>
      </w:r>
      <w:r>
        <w:rPr/>
        <w:t>福建省中亿通招标咨询有限公司</w:t>
      </w:r>
      <w:r>
        <w:rPr/>
        <w:t xml:space="preserve"> 将顺延投标截止时间及开标时间， </w:t>
      </w:r>
      <w:r>
        <w:rPr/>
        <w:t>福建省中亿通招标咨询有限公司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福建省中亿通招标咨询有限公司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福建省中亿通招标咨询有限公司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福建省中亿通招标咨询有限公司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福建省中亿通招标咨询有限公司</w:t>
      </w:r>
      <w:r>
        <w:rPr/>
        <w:t xml:space="preserve"> 可终止招标并发布终止公告。</w:t>
      </w:r>
    </w:p>
    <w:p>
      <w:pPr>
        <w:pStyle w:val="null3"/>
        <w:ind w:firstLine="480"/>
        <w:jc w:val="both"/>
      </w:pPr>
      <w:r>
        <w:rPr/>
        <w:t xml:space="preserve">8.2终止公告作为 </w:t>
      </w:r>
      <w:r>
        <w:rPr/>
        <w:t>福建省中亿通招标咨询有限公司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福建省中亿通招标咨询有限公司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福建省中亿通招标咨询有限公司</w:t>
      </w:r>
      <w:r>
        <w:rPr/>
        <w:t xml:space="preserve"> 可于投标有效期届满之前书面要求投标人延长投标有效期，投标人应在 </w:t>
      </w:r>
      <w:r>
        <w:rPr/>
        <w:t>福建省中亿通招标咨询有限公司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福建省中亿通招标咨询有限公司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福建省中亿通招标咨询有限公司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福建省中亿通招标咨询有限公司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福建省中亿通招标咨询有限公司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福建省中亿通招标咨询有限公司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福建省中亿通招标咨询有限公司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福建省中亿通招标咨询有限公司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福建省中亿通招标咨询有限公司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福建省中亿通招标咨询有限公司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福建省中亿通招标咨询有限公司</w:t>
      </w:r>
      <w:r>
        <w:rPr/>
        <w:t xml:space="preserve"> 提出询问， </w:t>
      </w:r>
      <w:r>
        <w:rPr/>
        <w:t>福建省中亿通招标咨询有限公司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福建省中亿通招标咨询有限公司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福建省中亿通招标咨询有限公司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由福建省中亿通招标咨询有限公司派出的工作人员至少1人，</w:t>
      </w:r>
      <w:r>
        <w:rPr/>
        <w:t>其余1人可为采购人代表或福建省中亿通招标咨询有限公司的工作人员。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工程、服务）。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服务类采购项目，本项目（采购标的）中小企业划分标准所属行业为软件和信息技术服务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t xml:space="preserve"> 明细</w:t>
            </w:r>
          </w:p>
        </w:tc>
      </w:tr>
      <w:tr>
        <w:tc>
          <w:tcPr>
            <w:tcW w:type="dxa" w:w="8306"/>
          </w:tcPr>
          <w:p>
            <w:pPr>
              <w:pStyle w:val="null3"/>
            </w:pPr>
            <w:r>
              <w:rPr/>
              <w:t>未按照招标文件规定提交投标函</w:t>
            </w:r>
          </w:p>
        </w:tc>
      </w:tr>
      <w:tr>
        <w:tc>
          <w:tcPr>
            <w:tcW w:type="dxa" w:w="8306"/>
          </w:tcPr>
          <w:p>
            <w:pPr>
              <w:pStyle w:val="null3"/>
            </w:pPr>
            <w:r>
              <w:rPr/>
              <w:t>未按照招标文件规定提交投标人的资格及资信文件</w:t>
            </w:r>
          </w:p>
        </w:tc>
      </w:tr>
      <w:tr>
        <w:tc>
          <w:tcPr>
            <w:tcW w:type="dxa" w:w="8306"/>
          </w:tcPr>
          <w:p>
            <w:pPr>
              <w:pStyle w:val="null3"/>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r>
        <w:tc>
          <w:tcPr>
            <w:tcW w:type="dxa" w:w="4153"/>
          </w:tcPr>
          <w:p>
            <w:pPr>
              <w:pStyle w:val="null3"/>
              <w:jc w:val="left"/>
            </w:pPr>
            <w:r>
              <w:rPr/>
              <w:t>其他情形</w:t>
            </w:r>
          </w:p>
        </w:tc>
        <w:tc>
          <w:tcPr>
            <w:tcW w:type="dxa" w:w="4153"/>
          </w:tcPr>
          <w:p>
            <w:pPr>
              <w:pStyle w:val="null3"/>
              <w:jc w:val="left"/>
            </w:pPr>
            <w:r>
              <w:rPr/>
              <w:t>出现招标文件中载明“资格审查不合格”条款的规定。</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福建省中亿通招标咨询有限公司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福建省中亿通招标咨询有限公司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福建省中亿通招标咨询有限公司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福建省中亿通招标咨询有限公司</w:t>
      </w:r>
      <w:r>
        <w:rPr/>
        <w:t xml:space="preserve"> 统一对外发布。</w:t>
      </w:r>
    </w:p>
    <w:p>
      <w:pPr>
        <w:pStyle w:val="null3"/>
        <w:ind w:firstLine="480"/>
        <w:jc w:val="both"/>
      </w:pPr>
      <w:r>
        <w:rPr/>
        <w:t xml:space="preserve">②对 </w:t>
      </w:r>
      <w:r>
        <w:rPr/>
        <w:t>福建省中亿通招标咨询有限公司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投标人的技术因素实际得分少于招标文件设定的技术因素总分50%的；</w:t>
            </w:r>
          </w:p>
        </w:tc>
      </w:tr>
      <w:tr>
        <w:tc>
          <w:tcPr>
            <w:tcW w:type="dxa" w:w="4153"/>
          </w:tcPr>
          <w:p>
            <w:pPr>
              <w:pStyle w:val="null3"/>
              <w:jc w:val="left"/>
            </w:pPr>
            <w:r>
              <w:rPr/>
              <w:t>其他情形</w:t>
            </w:r>
          </w:p>
        </w:tc>
        <w:tc>
          <w:tcPr>
            <w:tcW w:type="dxa" w:w="4153"/>
          </w:tcPr>
          <w:p>
            <w:pPr>
              <w:pStyle w:val="null3"/>
              <w:jc w:val="left"/>
            </w:pPr>
            <w:r>
              <w:rPr/>
              <w:t>技术部分中出现报价部分的全部或部分的投标报价信息（或组成资料）的。</w:t>
            </w:r>
          </w:p>
        </w:tc>
      </w:tr>
      <w:tr>
        <w:tc>
          <w:tcPr>
            <w:tcW w:type="dxa" w:w="4153"/>
          </w:tcPr>
          <w:p>
            <w:pPr>
              <w:pStyle w:val="null3"/>
              <w:jc w:val="left"/>
            </w:pPr>
            <w:r>
              <w:rPr/>
              <w:t>其他情形</w:t>
            </w:r>
          </w:p>
        </w:tc>
        <w:tc>
          <w:tcPr>
            <w:tcW w:type="dxa" w:w="4153"/>
          </w:tcPr>
          <w:p>
            <w:pPr>
              <w:pStyle w:val="null3"/>
              <w:jc w:val="left"/>
            </w:pPr>
            <w:r>
              <w:rPr/>
              <w:t>技术和服务要求中标注“★”号的要求为不可负偏离的实质性条款，有任一项负偏离视为未实质性响应招标文件要求，按无效投标处理。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出现不满足或未响应招标文件第五章招标内容及要求“三、商务条件”中任一条款的；</w:t>
            </w:r>
          </w:p>
        </w:tc>
      </w:tr>
      <w:tr>
        <w:tc>
          <w:tcPr>
            <w:tcW w:type="dxa" w:w="4153"/>
          </w:tcPr>
          <w:p>
            <w:pPr>
              <w:pStyle w:val="null3"/>
              <w:jc w:val="left"/>
            </w:pPr>
            <w:r>
              <w:rPr/>
              <w:t>其他情形</w:t>
            </w:r>
          </w:p>
        </w:tc>
        <w:tc>
          <w:tcPr>
            <w:tcW w:type="dxa" w:w="4153"/>
          </w:tcPr>
          <w:p>
            <w:pPr>
              <w:pStyle w:val="null3"/>
              <w:jc w:val="left"/>
            </w:pPr>
            <w:r>
              <w:rPr/>
              <w:t>商务部分中出现报价部分的全部或部分的投标报价信息（或组成资料）的。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响服务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t>其他情形</w:t>
            </w:r>
          </w:p>
        </w:tc>
        <w:tc>
          <w:tcPr>
            <w:tcW w:type="dxa" w:w="4153"/>
          </w:tcPr>
          <w:p>
            <w:pPr>
              <w:pStyle w:val="null3"/>
              <w:jc w:val="left"/>
            </w:pPr>
            <w:r>
              <w:rPr/>
              <w:t>投标报价超出最高限价的。</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福建省中亿通招标咨询有限公司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1技术和服务要求响应情况</w:t>
            </w:r>
          </w:p>
        </w:tc>
        <w:tc>
          <w:tcPr>
            <w:tcW w:type="dxa" w:w="831"/>
          </w:tcPr>
          <w:p>
            <w:pPr>
              <w:pStyle w:val="null3"/>
              <w:jc w:val="right"/>
            </w:pPr>
            <w:r>
              <w:rPr/>
              <w:t>43.20</w:t>
            </w:r>
          </w:p>
        </w:tc>
        <w:tc>
          <w:tcPr>
            <w:tcW w:type="dxa" w:w="4153"/>
          </w:tcPr>
          <w:p>
            <w:pPr>
              <w:pStyle w:val="null3"/>
              <w:jc w:val="both"/>
            </w:pPr>
            <w:r>
              <w:rPr/>
              <w:t>根据投标人对招标文件第五章中招标内容及要求“二、技术和服务要求”的响应情况，由评委进行评分：全部满足招标文件要求的得 43.2分；标注“★”的技术和服务要求（共计2项），有一项负偏离按无效响应处理；标注“▲”的技术和服务要求（共计8项）每负偏离一项扣3分；未标注“★”和“▲”的技术和服务要求（共计16项），每负偏离一项扣1.2分，扣完为止，正偏离不加分。</w:t>
            </w:r>
          </w:p>
        </w:tc>
      </w:tr>
      <w:tr>
        <w:tc>
          <w:tcPr>
            <w:tcW w:type="dxa" w:w="3322"/>
          </w:tcPr>
          <w:p>
            <w:pPr>
              <w:pStyle w:val="null3"/>
              <w:jc w:val="both"/>
            </w:pPr>
            <w:r>
              <w:rPr/>
              <w:t>2总体设计方案</w:t>
            </w:r>
          </w:p>
        </w:tc>
        <w:tc>
          <w:tcPr>
            <w:tcW w:type="dxa" w:w="831"/>
          </w:tcPr>
          <w:p>
            <w:pPr>
              <w:pStyle w:val="null3"/>
              <w:jc w:val="right"/>
            </w:pPr>
            <w:r>
              <w:rPr/>
              <w:t>2.80</w:t>
            </w:r>
          </w:p>
        </w:tc>
        <w:tc>
          <w:tcPr>
            <w:tcW w:type="dxa" w:w="4153"/>
          </w:tcPr>
          <w:p>
            <w:pPr>
              <w:pStyle w:val="null3"/>
              <w:jc w:val="both"/>
            </w:pPr>
            <w:r>
              <w:rPr/>
              <w:t>根据投标人针对本项目提供的总体设计方案，包括但不限于项目背景、需求分析、项目建设总体思路等，由评委进行评分：内容详细完整、实施性强能够完全满足采购需求的得2.80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3现状分析</w:t>
            </w:r>
          </w:p>
        </w:tc>
        <w:tc>
          <w:tcPr>
            <w:tcW w:type="dxa" w:w="831"/>
          </w:tcPr>
          <w:p>
            <w:pPr>
              <w:pStyle w:val="null3"/>
              <w:jc w:val="right"/>
            </w:pPr>
            <w:r>
              <w:rPr/>
              <w:t>3.00</w:t>
            </w:r>
          </w:p>
        </w:tc>
        <w:tc>
          <w:tcPr>
            <w:tcW w:type="dxa" w:w="4153"/>
          </w:tcPr>
          <w:p>
            <w:pPr>
              <w:pStyle w:val="null3"/>
              <w:jc w:val="both"/>
            </w:pPr>
            <w:r>
              <w:rPr/>
              <w:t>根据投标人对福建省民政厅网站现有软硬件平台现状分析，包括但不限于应用系统建设情况、系统部署（包括网络拓扑）、资源配置情况等内容，以文字和图形方式详细描述和设计，由评委进行评分：内容详细完整、实施性强能够完全满足采购需求的得3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4重点、难点问题分析和建议</w:t>
            </w:r>
          </w:p>
        </w:tc>
        <w:tc>
          <w:tcPr>
            <w:tcW w:type="dxa" w:w="831"/>
          </w:tcPr>
          <w:p>
            <w:pPr>
              <w:pStyle w:val="null3"/>
              <w:jc w:val="right"/>
            </w:pPr>
            <w:r>
              <w:rPr/>
              <w:t>3.00</w:t>
            </w:r>
          </w:p>
        </w:tc>
        <w:tc>
          <w:tcPr>
            <w:tcW w:type="dxa" w:w="4153"/>
          </w:tcPr>
          <w:p>
            <w:pPr>
              <w:pStyle w:val="null3"/>
              <w:jc w:val="both"/>
            </w:pPr>
            <w:r>
              <w:rPr/>
              <w:t>根据投标人针对本项目服务过程中可能遇到的重点、难点问题分析是否准确、所提出建议是否科学合理等情况，由评委进行评分：内容详细完整、实施性强能够完全满足采购需求的得3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5网站页面改版服务</w:t>
            </w:r>
          </w:p>
        </w:tc>
        <w:tc>
          <w:tcPr>
            <w:tcW w:type="dxa" w:w="831"/>
          </w:tcPr>
          <w:p>
            <w:pPr>
              <w:pStyle w:val="null3"/>
              <w:jc w:val="right"/>
            </w:pPr>
            <w:r>
              <w:rPr/>
              <w:t>3.00</w:t>
            </w:r>
          </w:p>
        </w:tc>
        <w:tc>
          <w:tcPr>
            <w:tcW w:type="dxa" w:w="4153"/>
          </w:tcPr>
          <w:p>
            <w:pPr>
              <w:pStyle w:val="null3"/>
              <w:jc w:val="both"/>
            </w:pPr>
            <w:r>
              <w:rPr/>
              <w:t>根据投标人提供的福建省民政厅网站首页设计电脑、平板、手机3种效果图情况，由评委进行评分：每提供一种效果图的得1分，满分3分，未提供的不得分。</w:t>
            </w:r>
          </w:p>
        </w:tc>
      </w:tr>
      <w:tr>
        <w:tc>
          <w:tcPr>
            <w:tcW w:type="dxa" w:w="3322"/>
          </w:tcPr>
          <w:p>
            <w:pPr>
              <w:pStyle w:val="null3"/>
              <w:jc w:val="both"/>
            </w:pPr>
            <w:r>
              <w:rPr/>
              <w:t>6网站适老化改造</w:t>
            </w:r>
          </w:p>
        </w:tc>
        <w:tc>
          <w:tcPr>
            <w:tcW w:type="dxa" w:w="831"/>
          </w:tcPr>
          <w:p>
            <w:pPr>
              <w:pStyle w:val="null3"/>
              <w:jc w:val="right"/>
            </w:pPr>
            <w:r>
              <w:rPr/>
              <w:t>3.00</w:t>
            </w:r>
          </w:p>
        </w:tc>
        <w:tc>
          <w:tcPr>
            <w:tcW w:type="dxa" w:w="4153"/>
          </w:tcPr>
          <w:p>
            <w:pPr>
              <w:pStyle w:val="null3"/>
              <w:jc w:val="both"/>
            </w:pPr>
            <w:r>
              <w:rPr/>
              <w:t>根据投标人提供的网站适老化改造总体方案情况，方案须提供对功能点支持的描述，由评委进行评分：内容详细完整、实施性强能够完全满足采购需求的得3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7项目实施计划</w:t>
            </w:r>
          </w:p>
        </w:tc>
        <w:tc>
          <w:tcPr>
            <w:tcW w:type="dxa" w:w="831"/>
          </w:tcPr>
          <w:p>
            <w:pPr>
              <w:pStyle w:val="null3"/>
              <w:jc w:val="right"/>
            </w:pPr>
            <w:r>
              <w:rPr/>
              <w:t>3.00</w:t>
            </w:r>
          </w:p>
        </w:tc>
        <w:tc>
          <w:tcPr>
            <w:tcW w:type="dxa" w:w="4153"/>
          </w:tcPr>
          <w:p>
            <w:pPr>
              <w:pStyle w:val="null3"/>
              <w:jc w:val="both"/>
            </w:pPr>
            <w:r>
              <w:rPr/>
              <w:t>根据投标人针对本项目制定的项目实施计划，包括但不限于项目的组织机构、管理体系、维护总结等方面等情况，由评委进行评分：内容详细完整、实施性强能够完全满足采购需求的得3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8项目维护计划</w:t>
            </w:r>
          </w:p>
        </w:tc>
        <w:tc>
          <w:tcPr>
            <w:tcW w:type="dxa" w:w="831"/>
          </w:tcPr>
          <w:p>
            <w:pPr>
              <w:pStyle w:val="null3"/>
              <w:jc w:val="right"/>
            </w:pPr>
            <w:r>
              <w:rPr/>
              <w:t>3.00</w:t>
            </w:r>
          </w:p>
        </w:tc>
        <w:tc>
          <w:tcPr>
            <w:tcW w:type="dxa" w:w="4153"/>
          </w:tcPr>
          <w:p>
            <w:pPr>
              <w:pStyle w:val="null3"/>
              <w:jc w:val="both"/>
            </w:pPr>
            <w:r>
              <w:rPr/>
              <w:t>根据投标人针对本项目所提供的运行维护整体方案，包括但不限于技术运行维护内容、运行维护计划、运行维护时间、运行维护管理体系、运行维护质量体系、运行维护文档，由评委进行评分：内容详细完整、实施性强能够完全满足采购需求的得3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9应急保障服务方案</w:t>
            </w:r>
          </w:p>
        </w:tc>
        <w:tc>
          <w:tcPr>
            <w:tcW w:type="dxa" w:w="831"/>
          </w:tcPr>
          <w:p>
            <w:pPr>
              <w:pStyle w:val="null3"/>
              <w:jc w:val="right"/>
            </w:pPr>
            <w:r>
              <w:rPr/>
              <w:t>3.00</w:t>
            </w:r>
          </w:p>
        </w:tc>
        <w:tc>
          <w:tcPr>
            <w:tcW w:type="dxa" w:w="4153"/>
          </w:tcPr>
          <w:p>
            <w:pPr>
              <w:pStyle w:val="null3"/>
              <w:jc w:val="both"/>
            </w:pPr>
            <w:r>
              <w:rPr/>
              <w:t>根据投标人针对本项目提供的应急保障服务方案，包括但不限于具体的故障响应时间、响应方式、维修服务能力等，由评委进行评分：内容详细完整、实施性强能够完全满足采购需求的得3分；方案内容较完整、实施性较强能够大部分满足采购需求的得2分；内容不完整、实施性欠缺能够小部分满足采购需求的得1分；其它或未提供不得分。</w:t>
            </w:r>
          </w:p>
        </w:tc>
      </w:tr>
      <w:tr>
        <w:tc>
          <w:tcPr>
            <w:tcW w:type="dxa" w:w="3322"/>
          </w:tcPr>
          <w:p>
            <w:pPr>
              <w:pStyle w:val="null3"/>
              <w:jc w:val="both"/>
            </w:pPr>
            <w:r>
              <w:rPr/>
              <w:t>10安全性方案</w:t>
            </w:r>
          </w:p>
        </w:tc>
        <w:tc>
          <w:tcPr>
            <w:tcW w:type="dxa" w:w="831"/>
          </w:tcPr>
          <w:p>
            <w:pPr>
              <w:pStyle w:val="null3"/>
              <w:jc w:val="right"/>
            </w:pPr>
            <w:r>
              <w:rPr/>
              <w:t>3.00</w:t>
            </w:r>
          </w:p>
        </w:tc>
        <w:tc>
          <w:tcPr>
            <w:tcW w:type="dxa" w:w="4153"/>
          </w:tcPr>
          <w:p>
            <w:pPr>
              <w:pStyle w:val="null3"/>
              <w:jc w:val="both"/>
            </w:pPr>
            <w:r>
              <w:rPr/>
              <w:t>根据投标人提供的安全性设计方案，至少包含①网络安全；②应用安全，每提供一项内容分析得1.5分，满分3分。投标人须提供安全性设计的详细说明，否则不得分。</w:t>
            </w:r>
          </w:p>
        </w:tc>
      </w:tr>
    </w:tbl>
    <w:p>
      <w:pPr>
        <w:pStyle w:val="null3"/>
        <w:jc w:val="both"/>
      </w:pPr>
      <w:r>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1人员证书</w:t>
            </w:r>
          </w:p>
        </w:tc>
        <w:tc>
          <w:tcPr>
            <w:tcW w:type="dxa" w:w="831"/>
          </w:tcPr>
          <w:p>
            <w:pPr>
              <w:pStyle w:val="null3"/>
              <w:jc w:val="right"/>
            </w:pPr>
            <w:r>
              <w:rPr/>
              <w:t>2.00</w:t>
            </w:r>
          </w:p>
        </w:tc>
        <w:tc>
          <w:tcPr>
            <w:tcW w:type="dxa" w:w="4153"/>
          </w:tcPr>
          <w:p>
            <w:pPr>
              <w:pStyle w:val="null3"/>
              <w:jc w:val="both"/>
            </w:pPr>
            <w:r>
              <w:rPr/>
              <w:t>1.1投标人拟投入本项目的项目经理具有信息系统项目管理师证书的得1分；具有系统集成项目管理工程师证书的得1分。投标人须提供项目经理相关证书复印件及投标截止时间前六个月（不含投标截止时间的当月）中任一月份为其缴纳的的社会保障资金缴纳凭据复印件，未提供或提供不齐全的均不得分。</w:t>
            </w:r>
          </w:p>
        </w:tc>
      </w:tr>
      <w:tr>
        <w:tc>
          <w:tcPr>
            <w:tcW w:type="dxa" w:w="3322"/>
          </w:tcPr>
          <w:p>
            <w:pPr>
              <w:pStyle w:val="null3"/>
              <w:jc w:val="both"/>
            </w:pPr>
            <w:r>
              <w:rPr/>
              <w:t>1人员证书</w:t>
            </w:r>
          </w:p>
        </w:tc>
        <w:tc>
          <w:tcPr>
            <w:tcW w:type="dxa" w:w="831"/>
          </w:tcPr>
          <w:p>
            <w:pPr>
              <w:pStyle w:val="null3"/>
              <w:jc w:val="right"/>
            </w:pPr>
            <w:r>
              <w:rPr/>
              <w:t>2.00</w:t>
            </w:r>
          </w:p>
        </w:tc>
        <w:tc>
          <w:tcPr>
            <w:tcW w:type="dxa" w:w="4153"/>
          </w:tcPr>
          <w:p>
            <w:pPr>
              <w:pStyle w:val="null3"/>
              <w:jc w:val="both"/>
            </w:pPr>
            <w:r>
              <w:rPr/>
              <w:t>1.2投标人投入本项目的项目技术负责人具有高级软件技术开发工程师证书的得1分；具有高级网络信息安全工程师证书的得1分。投标人须提供项目技术负责人相关证书复印件及投标截止时间前六个月（不含投标截止时间的当月）中任一月份为其缴纳的的社会保障资金缴纳凭据复印件，未提供或提供不齐全的均不得分。</w:t>
            </w:r>
          </w:p>
        </w:tc>
      </w:tr>
      <w:tr>
        <w:tc>
          <w:tcPr>
            <w:tcW w:type="dxa" w:w="3322"/>
          </w:tcPr>
          <w:p>
            <w:pPr>
              <w:pStyle w:val="null3"/>
              <w:jc w:val="both"/>
            </w:pPr>
            <w:r>
              <w:rPr/>
              <w:t>1人员证书</w:t>
            </w:r>
          </w:p>
        </w:tc>
        <w:tc>
          <w:tcPr>
            <w:tcW w:type="dxa" w:w="831"/>
          </w:tcPr>
          <w:p>
            <w:pPr>
              <w:pStyle w:val="null3"/>
              <w:jc w:val="right"/>
            </w:pPr>
            <w:r>
              <w:rPr/>
              <w:t>2.00</w:t>
            </w:r>
          </w:p>
        </w:tc>
        <w:tc>
          <w:tcPr>
            <w:tcW w:type="dxa" w:w="4153"/>
          </w:tcPr>
          <w:p>
            <w:pPr>
              <w:pStyle w:val="null3"/>
              <w:jc w:val="both"/>
            </w:pPr>
            <w:r>
              <w:rPr/>
              <w:t>1.3投标人投入本项目的服务团队中具有数据库系统工程师证书，每提供1名得1分，满分2分。投标人须提供相关证书复印件及投标截止时间前六个月（不含投标截止时间的当月）中任一月份为其缴纳的的社会保障资金缴纳凭据复印件，未提供或提供不齐全的均不得分。</w:t>
            </w:r>
          </w:p>
        </w:tc>
      </w:tr>
      <w:tr>
        <w:tc>
          <w:tcPr>
            <w:tcW w:type="dxa" w:w="3322"/>
          </w:tcPr>
          <w:p>
            <w:pPr>
              <w:pStyle w:val="null3"/>
              <w:jc w:val="both"/>
            </w:pPr>
            <w:r>
              <w:rPr/>
              <w:t>2服务团队经验</w:t>
            </w:r>
          </w:p>
        </w:tc>
        <w:tc>
          <w:tcPr>
            <w:tcW w:type="dxa" w:w="831"/>
          </w:tcPr>
          <w:p>
            <w:pPr>
              <w:pStyle w:val="null3"/>
              <w:jc w:val="right"/>
            </w:pPr>
            <w:r>
              <w:rPr/>
              <w:t>3.00</w:t>
            </w:r>
          </w:p>
        </w:tc>
        <w:tc>
          <w:tcPr>
            <w:tcW w:type="dxa" w:w="4153"/>
          </w:tcPr>
          <w:p>
            <w:pPr>
              <w:pStyle w:val="null3"/>
              <w:jc w:val="both"/>
            </w:pPr>
            <w:r>
              <w:rPr/>
              <w:t>投标人投入本项目的服务团队人员中具有政府网站运维经验的，每提供1名得1分，满分3分。投标人须提供加盖业主单位公章的相关证明材料复印件及投标截止时间前六个月（不含投标截止时间的当月）中任一月份为其缴纳的社会保障资金缴纳凭据复印件，未提供或提供不齐全的均不得分。</w:t>
            </w:r>
          </w:p>
        </w:tc>
      </w:tr>
      <w:tr>
        <w:tc>
          <w:tcPr>
            <w:tcW w:type="dxa" w:w="3322"/>
          </w:tcPr>
          <w:p>
            <w:pPr>
              <w:pStyle w:val="null3"/>
              <w:jc w:val="both"/>
            </w:pPr>
            <w:r>
              <w:rPr/>
              <w:t>3业绩</w:t>
            </w:r>
          </w:p>
        </w:tc>
        <w:tc>
          <w:tcPr>
            <w:tcW w:type="dxa" w:w="831"/>
          </w:tcPr>
          <w:p>
            <w:pPr>
              <w:pStyle w:val="null3"/>
              <w:jc w:val="right"/>
            </w:pPr>
            <w:r>
              <w:rPr/>
              <w:t>3.00</w:t>
            </w:r>
          </w:p>
        </w:tc>
        <w:tc>
          <w:tcPr>
            <w:tcW w:type="dxa" w:w="4153"/>
          </w:tcPr>
          <w:p>
            <w:pPr>
              <w:pStyle w:val="null3"/>
              <w:jc w:val="both"/>
            </w:pPr>
            <w:r>
              <w:rPr/>
              <w:t>根据投标人提供的自2019年1月1日至本项目投标截止时间止（以验收证明时间为准）由投标人自身独立承接的政府网站同类项目业绩，由评委进行评分：每提供一份齐全的业绩证明材料的得0.5分，满分3分。投标人须提供业绩的中标（成交）公告（提供相关网站中标（成交）公告的下载网页及其网址）、中标（成交）通知书复印件、采购合同文本复印件以及能够证明该项目已经业主单位验收合格的相关证明文件复印件，未同时提供以上证明材料的业绩不得分。</w:t>
            </w:r>
          </w:p>
        </w:tc>
      </w:tr>
      <w:tr>
        <w:tc>
          <w:tcPr>
            <w:tcW w:type="dxa" w:w="3322"/>
          </w:tcPr>
          <w:p>
            <w:pPr>
              <w:pStyle w:val="null3"/>
              <w:jc w:val="both"/>
            </w:pPr>
            <w:r>
              <w:rPr/>
              <w:t>4售后服务能力</w:t>
            </w:r>
          </w:p>
        </w:tc>
        <w:tc>
          <w:tcPr>
            <w:tcW w:type="dxa" w:w="831"/>
          </w:tcPr>
          <w:p>
            <w:pPr>
              <w:pStyle w:val="null3"/>
              <w:jc w:val="right"/>
            </w:pPr>
            <w:r>
              <w:rPr/>
              <w:t>3.00</w:t>
            </w:r>
          </w:p>
        </w:tc>
        <w:tc>
          <w:tcPr>
            <w:tcW w:type="dxa" w:w="4153"/>
          </w:tcPr>
          <w:p>
            <w:pPr>
              <w:pStyle w:val="null3"/>
              <w:jc w:val="both"/>
            </w:pPr>
            <w:r>
              <w:rPr/>
              <w:t>根据投标人所承诺的故障服务响应时间，由评委进行评分：承诺1小时内派人到达现场的得3分，承诺1小时～2小时内派人到达现场的得2分，承诺2小时～4小时内派人到达现场的得1分，超过4小时的不得分。投标人须提供承诺函（格式自拟），未提供的不得分。</w:t>
            </w:r>
          </w:p>
        </w:tc>
      </w:tr>
      <w:tr>
        <w:tc>
          <w:tcPr>
            <w:tcW w:type="dxa" w:w="3322"/>
          </w:tcPr>
          <w:p>
            <w:pPr>
              <w:pStyle w:val="null3"/>
              <w:jc w:val="both"/>
            </w:pPr>
            <w:r>
              <w:rPr/>
              <w:t>5评价情况</w:t>
            </w:r>
          </w:p>
        </w:tc>
        <w:tc>
          <w:tcPr>
            <w:tcW w:type="dxa" w:w="831"/>
          </w:tcPr>
          <w:p>
            <w:pPr>
              <w:pStyle w:val="null3"/>
              <w:jc w:val="right"/>
            </w:pPr>
            <w:r>
              <w:rPr/>
              <w:t>2.00</w:t>
            </w:r>
          </w:p>
        </w:tc>
        <w:tc>
          <w:tcPr>
            <w:tcW w:type="dxa" w:w="4153"/>
          </w:tcPr>
          <w:p>
            <w:pPr>
              <w:pStyle w:val="null3"/>
              <w:jc w:val="both"/>
            </w:pPr>
            <w:r>
              <w:rPr/>
              <w:t>根据投标人提供的自2019年1月1日至本项目投标截止时间止（以评价日期为准），由业主单位对投标人完成的同类项目，持正面服务评价证明材料情况，由评委进行评分：每提供一份得1分，满分2分。 投标人须提供加盖业主单位公章的评价证明文本复印件。同一业主单位出具的评价证明材料不重复得分，与“业绩”评分项同一业主单位不重复得分。</w:t>
            </w:r>
          </w:p>
        </w:tc>
      </w:tr>
      <w:tr>
        <w:tc>
          <w:tcPr>
            <w:tcW w:type="dxa" w:w="3322"/>
          </w:tcPr>
          <w:p>
            <w:pPr>
              <w:pStyle w:val="null3"/>
              <w:jc w:val="both"/>
            </w:pPr>
            <w:r>
              <w:rPr/>
              <w:t>6履约承诺</w:t>
            </w:r>
          </w:p>
        </w:tc>
        <w:tc>
          <w:tcPr>
            <w:tcW w:type="dxa" w:w="831"/>
          </w:tcPr>
          <w:p>
            <w:pPr>
              <w:pStyle w:val="null3"/>
              <w:jc w:val="right"/>
            </w:pPr>
            <w:r>
              <w:rPr/>
              <w:t>3.00</w:t>
            </w:r>
          </w:p>
        </w:tc>
        <w:tc>
          <w:tcPr>
            <w:tcW w:type="dxa" w:w="4153"/>
          </w:tcPr>
          <w:p>
            <w:pPr>
              <w:pStyle w:val="null3"/>
              <w:jc w:val="both"/>
            </w:pPr>
            <w:r>
              <w:rPr/>
              <w:t>投标人承诺项目服务期间不自行更换项目团队人员。若因不可抗力原因，需调整项目团队成员，应提前通知采购人，并获得采购人的书面同意后才能安排调整，否则采购人有权终止合同。调整前，投标人须保证项目的正常进行，并不得据此影响投标人所提供的技术服务及其质量。投标人提供承诺函的得3分，未提供不得分，承诺函格式自拟。</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left"/>
        <w:outlineLvl w:val="1"/>
      </w:pPr>
      <w:r>
        <w:rPr>
          <w:rFonts w:ascii="宋体" w:hAnsi="宋体" w:cs="宋体" w:eastAsia="宋体"/>
          <w:b/>
          <w:sz w:val="20"/>
        </w:rPr>
        <w:t>1、项目建设背景</w:t>
      </w:r>
    </w:p>
    <w:p>
      <w:pPr>
        <w:pStyle w:val="null3"/>
        <w:ind w:firstLine="480"/>
        <w:jc w:val="both"/>
      </w:pPr>
      <w:r>
        <w:rPr>
          <w:rFonts w:ascii="宋体" w:hAnsi="宋体" w:cs="宋体" w:eastAsia="宋体"/>
          <w:sz w:val="20"/>
        </w:rPr>
        <w:t>虽然福建省民政厅网站建设与管理工作取得了一定的成效，对照政府网站发展指引、国内领先政府网站和</w:t>
      </w:r>
      <w:r>
        <w:rPr>
          <w:rFonts w:ascii="宋体" w:hAnsi="宋体" w:cs="宋体" w:eastAsia="宋体"/>
          <w:sz w:val="20"/>
        </w:rPr>
        <w:t>2023年福建省网站绩效考核指标，在对外服务个性化、服务模式创新、功能特色等方面还有较大差距，需要进一步改进和优化提升。</w:t>
      </w:r>
    </w:p>
    <w:p>
      <w:pPr>
        <w:pStyle w:val="null3"/>
        <w:ind w:firstLine="480"/>
        <w:jc w:val="both"/>
      </w:pPr>
      <w:r>
        <w:rPr>
          <w:rFonts w:ascii="宋体" w:hAnsi="宋体" w:cs="宋体" w:eastAsia="宋体"/>
          <w:sz w:val="20"/>
        </w:rPr>
        <w:t>省委、省领导高度重视全省政府网站建设工作，多次召开专题会议，均对网站建设提出了高标准、高要求，要求提升政府网站集约化建设成效，增强政府网站权威性、公信力，打造具有福建特色，整体协同，全省统一、规范、权威、良好的网上政府形象。</w:t>
      </w:r>
    </w:p>
    <w:p>
      <w:pPr>
        <w:pStyle w:val="null3"/>
        <w:ind w:firstLine="480"/>
        <w:jc w:val="both"/>
      </w:pPr>
      <w:r>
        <w:rPr>
          <w:rFonts w:ascii="宋体" w:hAnsi="宋体" w:cs="宋体" w:eastAsia="宋体"/>
          <w:sz w:val="20"/>
        </w:rPr>
        <w:t>近年来，国办和省政府办公厅针对政府网站建设又提出了新的要求：</w:t>
      </w:r>
    </w:p>
    <w:p>
      <w:pPr>
        <w:pStyle w:val="null3"/>
        <w:ind w:firstLine="482"/>
        <w:jc w:val="both"/>
      </w:pPr>
      <w:r>
        <w:rPr>
          <w:rFonts w:ascii="宋体" w:hAnsi="宋体" w:cs="宋体" w:eastAsia="宋体"/>
          <w:b/>
          <w:color w:val="000000"/>
          <w:sz w:val="20"/>
        </w:rPr>
        <w:t>一是《福建省政府网站页面设计统一规范》</w:t>
      </w:r>
      <w:r>
        <w:rPr>
          <w:rFonts w:ascii="宋体" w:hAnsi="宋体" w:cs="宋体" w:eastAsia="宋体"/>
          <w:color w:val="000000"/>
          <w:sz w:val="20"/>
        </w:rPr>
        <w:t>针对网站页面进行改版优化提出要求，实现页面框架、头尾标识、栏目设置、字体字号、颜色搭配等方面的统一，提升网站整体服务水平和用户体验。</w:t>
      </w:r>
    </w:p>
    <w:p>
      <w:pPr>
        <w:pStyle w:val="null3"/>
        <w:ind w:firstLine="482"/>
        <w:jc w:val="both"/>
      </w:pPr>
      <w:r>
        <w:rPr>
          <w:rFonts w:ascii="宋体" w:hAnsi="宋体" w:cs="宋体" w:eastAsia="宋体"/>
          <w:b/>
          <w:color w:val="000000"/>
          <w:sz w:val="20"/>
        </w:rPr>
        <w:t>二是</w:t>
      </w:r>
      <w:r>
        <w:rPr>
          <w:rFonts w:ascii="宋体" w:hAnsi="宋体" w:cs="宋体" w:eastAsia="宋体"/>
          <w:b/>
          <w:color w:val="000000"/>
          <w:sz w:val="20"/>
        </w:rPr>
        <w:t>《国务院办公厅关于印发政府网站发展指引的通知》</w:t>
      </w:r>
      <w:r>
        <w:rPr>
          <w:rFonts w:ascii="宋体" w:hAnsi="宋体" w:cs="宋体" w:eastAsia="宋体"/>
          <w:color w:val="000000"/>
          <w:sz w:val="20"/>
        </w:rPr>
        <w:t>针对适老化改造提出要求：</w:t>
      </w:r>
      <w:r>
        <w:rPr>
          <w:rFonts w:ascii="宋体" w:hAnsi="宋体" w:cs="宋体" w:eastAsia="宋体"/>
          <w:color w:val="000000"/>
          <w:sz w:val="20"/>
        </w:rPr>
        <w:t>“</w:t>
      </w:r>
      <w:r>
        <w:rPr>
          <w:rFonts w:ascii="宋体" w:hAnsi="宋体" w:cs="宋体" w:eastAsia="宋体"/>
          <w:color w:val="000000"/>
          <w:sz w:val="20"/>
        </w:rPr>
        <w:t>围绕残疾人、老年人等特殊群体获取网站信息的需求，不断提升信息无障碍水平。</w:t>
      </w:r>
      <w:r>
        <w:rPr>
          <w:rFonts w:ascii="宋体" w:hAnsi="宋体" w:cs="宋体" w:eastAsia="宋体"/>
          <w:color w:val="000000"/>
          <w:sz w:val="20"/>
        </w:rPr>
        <w:t>”；针对智能搜索要求：</w:t>
      </w:r>
      <w:r>
        <w:rPr>
          <w:rFonts w:ascii="宋体" w:hAnsi="宋体" w:cs="宋体" w:eastAsia="宋体"/>
          <w:color w:val="000000"/>
          <w:sz w:val="20"/>
        </w:rPr>
        <w:t>“优化政府网站搜索功能，提供错别字自动纠正、关键词推荐、拼音转化搜索和通俗语言搜索等功能。根据用户真实需求调整搜索结果排序，提供多维度分类展现，聚合相关信息和服务，实现‘搜索即服务’”；</w:t>
      </w:r>
    </w:p>
    <w:p>
      <w:pPr>
        <w:pStyle w:val="null3"/>
        <w:ind w:firstLine="482"/>
        <w:jc w:val="both"/>
      </w:pPr>
      <w:r>
        <w:rPr>
          <w:rFonts w:ascii="宋体" w:hAnsi="宋体" w:cs="宋体" w:eastAsia="宋体"/>
          <w:b/>
          <w:color w:val="000000"/>
          <w:sz w:val="20"/>
        </w:rPr>
        <w:t>三</w:t>
      </w:r>
      <w:r>
        <w:rPr>
          <w:rFonts w:ascii="宋体" w:hAnsi="宋体" w:cs="宋体" w:eastAsia="宋体"/>
          <w:b/>
          <w:color w:val="000000"/>
          <w:sz w:val="20"/>
        </w:rPr>
        <w:t>是《福建省数字福建建设领导小组办公室关于开展</w:t>
      </w:r>
      <w:r>
        <w:rPr>
          <w:rFonts w:ascii="宋体" w:hAnsi="宋体" w:cs="宋体" w:eastAsia="宋体"/>
          <w:b/>
          <w:color w:val="000000"/>
          <w:sz w:val="20"/>
        </w:rPr>
        <w:t>2019年度电子政务绩效考核的函》中要求：</w:t>
      </w:r>
      <w:r>
        <w:rPr>
          <w:rFonts w:ascii="宋体" w:hAnsi="宋体" w:cs="宋体" w:eastAsia="宋体"/>
          <w:color w:val="000000"/>
          <w:sz w:val="20"/>
        </w:rPr>
        <w:t>优化网站搜索功能，提供错别字自动纠正、关键词推荐、拼音转化搜索和通俗语言搜索等功能情况。根据用户真实需求调整搜索结果排序，提供多维度分类展现（如按照政策文件、办事指南等进行分类）。根据搜索关键词聚合相关信息和服务，实现</w:t>
      </w:r>
      <w:r>
        <w:rPr>
          <w:rFonts w:ascii="宋体" w:hAnsi="宋体" w:cs="宋体" w:eastAsia="宋体"/>
          <w:color w:val="000000"/>
          <w:sz w:val="20"/>
        </w:rPr>
        <w:t>“搜索即服务”情况。</w:t>
      </w:r>
    </w:p>
    <w:p>
      <w:pPr>
        <w:pStyle w:val="null3"/>
        <w:ind w:firstLine="482"/>
        <w:jc w:val="both"/>
      </w:pPr>
      <w:r>
        <w:rPr>
          <w:rFonts w:ascii="宋体" w:hAnsi="宋体" w:cs="宋体" w:eastAsia="宋体"/>
          <w:b/>
          <w:color w:val="000000"/>
          <w:sz w:val="20"/>
        </w:rPr>
        <w:t>四是《福建省人民政府办公厅关于开展</w:t>
      </w:r>
      <w:r>
        <w:rPr>
          <w:rFonts w:ascii="宋体" w:hAnsi="宋体" w:cs="宋体" w:eastAsia="宋体"/>
          <w:b/>
          <w:color w:val="000000"/>
          <w:sz w:val="20"/>
        </w:rPr>
        <w:t>2023年度全省政府网站与政务新媒体绩效考核的通知》（闽政办函〔2023〕42号）</w:t>
      </w:r>
      <w:r>
        <w:rPr>
          <w:rFonts w:ascii="宋体" w:hAnsi="宋体" w:cs="宋体" w:eastAsia="宋体"/>
          <w:color w:val="000000"/>
          <w:sz w:val="20"/>
        </w:rPr>
        <w:t>针对</w:t>
      </w:r>
      <w:r>
        <w:rPr>
          <w:rFonts w:ascii="宋体" w:hAnsi="宋体" w:cs="宋体" w:eastAsia="宋体"/>
          <w:b/>
          <w:color w:val="000000"/>
          <w:sz w:val="20"/>
        </w:rPr>
        <w:t>智能搜索</w:t>
      </w:r>
      <w:r>
        <w:rPr>
          <w:rFonts w:ascii="宋体" w:hAnsi="宋体" w:cs="宋体" w:eastAsia="宋体"/>
          <w:color w:val="000000"/>
          <w:sz w:val="20"/>
        </w:rPr>
        <w:t>进行考核：</w:t>
      </w:r>
      <w:r>
        <w:rPr>
          <w:rFonts w:ascii="宋体" w:hAnsi="宋体" w:cs="宋体" w:eastAsia="宋体"/>
          <w:color w:val="000000"/>
          <w:sz w:val="20"/>
        </w:rPr>
        <w:t>“是否实现政策、数据搜索结果的可视化、是否实现政务服务搜索结果场景化、是否实现关联信息的聚合化。”针对知识问答进行考核：“是否提供智能提示、智能联想功能、单个关键词问答、复杂意图理解、拼音理解、融合答案输出、错别字识别等功能实现程度及输出结果准确度”。</w:t>
      </w:r>
    </w:p>
    <w:p>
      <w:pPr>
        <w:pStyle w:val="null3"/>
        <w:ind w:firstLine="480"/>
        <w:jc w:val="both"/>
      </w:pPr>
      <w:r>
        <w:rPr>
          <w:rFonts w:ascii="宋体" w:hAnsi="宋体" w:cs="宋体" w:eastAsia="宋体"/>
          <w:sz w:val="20"/>
        </w:rPr>
        <w:t>为深入贯彻落实相关政策文件要求和专题会议精神，适应我省的政府网站绩效考核指标的要求，顺应</w:t>
      </w:r>
      <w:r>
        <w:rPr>
          <w:rFonts w:ascii="宋体" w:hAnsi="宋体" w:cs="宋体" w:eastAsia="宋体"/>
          <w:sz w:val="20"/>
        </w:rPr>
        <w:t>“互联网+政务服务”发展趋势，提高政府网站的服务质量，</w:t>
      </w:r>
      <w:r>
        <w:rPr>
          <w:rFonts w:ascii="宋体" w:hAnsi="宋体" w:cs="宋体" w:eastAsia="宋体"/>
          <w:sz w:val="20"/>
        </w:rPr>
        <w:t>福建省民政厅网站运维服务项目</w:t>
      </w:r>
      <w:r>
        <w:rPr>
          <w:rFonts w:ascii="宋体" w:hAnsi="宋体" w:cs="宋体" w:eastAsia="宋体"/>
          <w:sz w:val="20"/>
        </w:rPr>
        <w:t>建设亟待开展。</w:t>
      </w:r>
    </w:p>
    <w:p>
      <w:pPr>
        <w:pStyle w:val="null3"/>
        <w:ind w:firstLine="480"/>
        <w:jc w:val="left"/>
        <w:outlineLvl w:val="1"/>
      </w:pPr>
      <w:r>
        <w:rPr>
          <w:rFonts w:ascii="宋体" w:hAnsi="宋体" w:cs="宋体" w:eastAsia="宋体"/>
          <w:b/>
          <w:sz w:val="20"/>
        </w:rPr>
        <w:t>2、建设目标</w:t>
      </w:r>
    </w:p>
    <w:p>
      <w:pPr>
        <w:pStyle w:val="null3"/>
        <w:ind w:firstLine="480"/>
        <w:jc w:val="both"/>
      </w:pPr>
      <w:r>
        <w:rPr>
          <w:rFonts w:ascii="宋体" w:hAnsi="宋体" w:cs="宋体" w:eastAsia="宋体"/>
          <w:sz w:val="20"/>
        </w:rPr>
        <w:t>本项目充分响应了国办、省委、省政府相关文件精神要求，在建设上立足于厅网站</w:t>
      </w:r>
      <w:r>
        <w:rPr>
          <w:rFonts w:ascii="宋体" w:hAnsi="宋体" w:cs="宋体" w:eastAsia="宋体"/>
          <w:color w:val="000000"/>
          <w:sz w:val="20"/>
        </w:rPr>
        <w:t>的实际情况，通过本次项目建设，能够提升</w:t>
      </w:r>
      <w:r>
        <w:rPr>
          <w:rFonts w:ascii="宋体" w:hAnsi="宋体" w:cs="宋体" w:eastAsia="宋体"/>
          <w:color w:val="000000"/>
          <w:sz w:val="20"/>
        </w:rPr>
        <w:t>厅</w:t>
      </w:r>
      <w:r>
        <w:rPr>
          <w:rFonts w:ascii="宋体" w:hAnsi="宋体" w:cs="宋体" w:eastAsia="宋体"/>
          <w:color w:val="000000"/>
          <w:sz w:val="20"/>
        </w:rPr>
        <w:t>网站</w:t>
      </w:r>
      <w:r>
        <w:rPr>
          <w:rFonts w:ascii="宋体" w:hAnsi="宋体" w:cs="宋体" w:eastAsia="宋体"/>
          <w:color w:val="000000"/>
          <w:sz w:val="20"/>
        </w:rPr>
        <w:t>整体服务水平</w:t>
      </w:r>
      <w:r>
        <w:rPr>
          <w:rFonts w:ascii="宋体" w:hAnsi="宋体" w:cs="宋体" w:eastAsia="宋体"/>
          <w:sz w:val="20"/>
        </w:rPr>
        <w:t>，打造具有</w:t>
      </w:r>
      <w:r>
        <w:rPr>
          <w:rFonts w:ascii="宋体" w:hAnsi="宋体" w:cs="宋体" w:eastAsia="宋体"/>
          <w:sz w:val="20"/>
        </w:rPr>
        <w:t>民政厅</w:t>
      </w:r>
      <w:r>
        <w:rPr>
          <w:rFonts w:ascii="宋体" w:hAnsi="宋体" w:cs="宋体" w:eastAsia="宋体"/>
          <w:sz w:val="20"/>
        </w:rPr>
        <w:t>特色，整体协同，全省统一、规范、权威、良好的网上政府形象，实现对外服务统一门户。为公众和企业提供更加智能化、个性化、高质量的政务服务、公共服务和便民服务，实现网站对外服务人性化。优化用户体验，将厅网站打造成更加及时的政务公开平台、更加权威的政策发布平台、更加便捷的公众服务平台。</w:t>
      </w:r>
    </w:p>
    <w:p>
      <w:pPr>
        <w:pStyle w:val="null3"/>
        <w:ind w:firstLine="480"/>
        <w:jc w:val="left"/>
        <w:outlineLvl w:val="1"/>
      </w:pPr>
      <w:r>
        <w:rPr>
          <w:rFonts w:ascii="宋体" w:hAnsi="宋体" w:cs="宋体" w:eastAsia="宋体"/>
          <w:b/>
          <w:sz w:val="20"/>
        </w:rPr>
        <w:t>3、项目建设内容</w:t>
      </w:r>
    </w:p>
    <w:p>
      <w:pPr>
        <w:pStyle w:val="null3"/>
        <w:ind w:firstLine="480"/>
        <w:jc w:val="both"/>
      </w:pPr>
      <w:r>
        <w:rPr>
          <w:rFonts w:ascii="宋体" w:hAnsi="宋体" w:cs="宋体" w:eastAsia="宋体"/>
          <w:sz w:val="20"/>
        </w:rPr>
        <w:t>本次项目将完成福建省民政厅网站运维服务项目（三年），包括网站页面改版服务、适老化适配云服务、网站运行维护服务、网站智能搜索服务、网站智能搜索场景开发服务。本项目服务期</w:t>
      </w:r>
      <w:r>
        <w:rPr>
          <w:rFonts w:ascii="宋体" w:hAnsi="宋体" w:cs="宋体" w:eastAsia="宋体"/>
          <w:sz w:val="20"/>
        </w:rPr>
        <w:t>3年，1年服务期的预算为17万元。</w:t>
      </w: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ind w:firstLine="482"/>
        <w:jc w:val="left"/>
      </w:pPr>
      <w:r>
        <w:rPr>
          <w:rFonts w:ascii="宋体" w:hAnsi="宋体" w:cs="宋体" w:eastAsia="宋体"/>
          <w:b/>
          <w:sz w:val="20"/>
          <w:shd w:fill="FFFFFF" w:val="clear"/>
        </w:rPr>
        <w:t>★（一）投标人须承诺能够基于福建省级政府网站统一技术平台完成福建省民政厅网站运维服务项目工作，满足福建省民政厅网站服务要求（包括网站页面改版服务、适老化适配云服务、网站智能搜索服务、网站智能搜索场景开发服务），如涉及接口开发费用由投标人自行承担，并提供承诺函，格式自拟。</w:t>
      </w:r>
    </w:p>
    <w:p>
      <w:pPr>
        <w:pStyle w:val="null3"/>
        <w:ind w:firstLine="482"/>
        <w:jc w:val="left"/>
      </w:pPr>
      <w:r>
        <w:rPr>
          <w:rFonts w:ascii="宋体" w:hAnsi="宋体" w:cs="宋体" w:eastAsia="宋体"/>
          <w:b/>
          <w:sz w:val="20"/>
          <w:shd w:fill="FFFFFF" w:val="clear"/>
        </w:rPr>
        <w:t>（二）具体要求如下：</w:t>
      </w:r>
    </w:p>
    <w:p>
      <w:pPr>
        <w:pStyle w:val="null3"/>
        <w:jc w:val="left"/>
        <w:outlineLvl w:val="1"/>
      </w:pPr>
      <w:r>
        <w:rPr>
          <w:rFonts w:ascii="宋体" w:hAnsi="宋体" w:cs="宋体" w:eastAsia="宋体"/>
          <w:b/>
          <w:sz w:val="20"/>
        </w:rPr>
        <w:t>（</w:t>
      </w:r>
      <w:r>
        <w:rPr>
          <w:rFonts w:ascii="宋体" w:hAnsi="宋体" w:cs="宋体" w:eastAsia="宋体"/>
          <w:b/>
          <w:sz w:val="20"/>
        </w:rPr>
        <w:t>1）</w:t>
      </w:r>
      <w:r>
        <w:rPr>
          <w:rFonts w:ascii="宋体" w:hAnsi="宋体" w:cs="宋体" w:eastAsia="宋体"/>
          <w:b/>
          <w:color w:val="000000"/>
          <w:sz w:val="20"/>
        </w:rPr>
        <w:t>网站页面统一规范调整服务</w:t>
      </w:r>
    </w:p>
    <w:p>
      <w:pPr>
        <w:pStyle w:val="null3"/>
        <w:ind w:firstLine="480"/>
        <w:jc w:val="both"/>
      </w:pPr>
      <w:r>
        <w:rPr>
          <w:rFonts w:ascii="宋体" w:hAnsi="宋体" w:cs="宋体" w:eastAsia="宋体"/>
          <w:sz w:val="20"/>
        </w:rPr>
        <w:t>为打造具有福建特色，整体协同，全省统一、规范、权威、良好的网上政府形象。按照国务院办公厅《政府网站发展指引》（国办发〔</w:t>
      </w:r>
      <w:r>
        <w:rPr>
          <w:rFonts w:ascii="宋体" w:hAnsi="宋体" w:cs="宋体" w:eastAsia="宋体"/>
          <w:sz w:val="20"/>
        </w:rPr>
        <w:t>2017〕47号）相关要求，省政府办公厅制定了《福建省政府网站页面统一规范》（以下简称《规范》），结合《规范》要求。根据福建省民政厅网站页面设计情况进行改造，实现厅网站页面框架、头尾标识、栏目设置、字体字号、颜色搭配等规范统一；</w:t>
      </w:r>
      <w:r>
        <w:rPr>
          <w:rFonts w:ascii="宋体" w:hAnsi="宋体" w:cs="宋体" w:eastAsia="宋体"/>
          <w:color w:val="000000"/>
          <w:sz w:val="20"/>
        </w:rPr>
        <w:t>包含网页展现布局、转载分享功能、地址链接（外部链接）、悬浮框处理、商业广告处理、对</w:t>
      </w:r>
      <w:r>
        <w:rPr>
          <w:rFonts w:ascii="宋体" w:hAnsi="宋体" w:cs="宋体" w:eastAsia="宋体"/>
          <w:color w:val="000000"/>
          <w:sz w:val="20"/>
        </w:rPr>
        <w:t>Chrome, 360, 火狐，safari,Edge等多种浏览器兼容等符合规范；网站页面按照省政府办公厅确定的统一页面规范改造。</w:t>
      </w:r>
    </w:p>
    <w:p>
      <w:pPr>
        <w:pStyle w:val="null3"/>
        <w:ind w:firstLine="480"/>
        <w:jc w:val="both"/>
      </w:pP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877"/>
        <w:gridCol w:w="2544"/>
        <w:gridCol w:w="4869"/>
      </w:tblGrid>
      <w:tr>
        <w:tc>
          <w:tcPr>
            <w:tcW w:type="dxa" w:w="877"/>
            <w:tcBorders>
              <w:top w:val="single" w:color="000000" w:sz="4"/>
              <w:left w:val="single" w:color="000000" w:sz="4"/>
              <w:bottom w:val="single" w:color="000000" w:sz="4"/>
              <w:right w:val="single" w:color="000000" w:sz="4"/>
            </w:tcBorders>
            <w:shd w:fill="D7D7D7"/>
            <w:tcMar>
              <w:top w:type="dxa" w:w="0"/>
              <w:left w:type="dxa" w:w="90"/>
              <w:bottom w:type="dxa" w:w="0"/>
              <w:right w:type="dxa" w:w="90"/>
            </w:tcMar>
            <w:vAlign w:val="top"/>
          </w:tcPr>
          <w:p>
            <w:pPr>
              <w:pStyle w:val="null3"/>
              <w:spacing w:after="120"/>
              <w:jc w:val="center"/>
            </w:pPr>
            <w:r>
              <w:rPr>
                <w:rFonts w:ascii="宋体" w:hAnsi="宋体" w:cs="宋体" w:eastAsia="宋体"/>
                <w:b/>
                <w:sz w:val="20"/>
              </w:rPr>
              <w:t>编号</w:t>
            </w:r>
          </w:p>
        </w:tc>
        <w:tc>
          <w:tcPr>
            <w:tcW w:type="dxa" w:w="2544"/>
            <w:tcBorders>
              <w:top w:val="single" w:color="000000" w:sz="4"/>
              <w:left w:val="single" w:color="000000" w:sz="4"/>
              <w:bottom w:val="single" w:color="000000" w:sz="4"/>
              <w:right w:val="single" w:color="000000" w:sz="4"/>
            </w:tcBorders>
            <w:shd w:fill="D7D7D7"/>
            <w:tcMar>
              <w:top w:type="dxa" w:w="0"/>
              <w:left w:type="dxa" w:w="90"/>
              <w:bottom w:type="dxa" w:w="0"/>
              <w:right w:type="dxa" w:w="90"/>
            </w:tcMar>
            <w:vAlign w:val="top"/>
          </w:tcPr>
          <w:p>
            <w:pPr>
              <w:pStyle w:val="null3"/>
              <w:spacing w:after="120"/>
              <w:jc w:val="center"/>
            </w:pPr>
            <w:r>
              <w:rPr>
                <w:rFonts w:ascii="宋体" w:hAnsi="宋体" w:cs="宋体" w:eastAsia="宋体"/>
                <w:b/>
                <w:sz w:val="20"/>
              </w:rPr>
              <w:t>模块名称</w:t>
            </w:r>
          </w:p>
        </w:tc>
        <w:tc>
          <w:tcPr>
            <w:tcW w:type="dxa" w:w="4869"/>
            <w:tcBorders>
              <w:top w:val="single" w:color="000000" w:sz="4"/>
              <w:left w:val="single" w:color="000000" w:sz="4"/>
              <w:bottom w:val="single" w:color="000000" w:sz="4"/>
              <w:right w:val="single" w:color="000000" w:sz="4"/>
            </w:tcBorders>
            <w:shd w:fill="D7D7D7"/>
            <w:tcMar>
              <w:top w:type="dxa" w:w="0"/>
              <w:left w:type="dxa" w:w="90"/>
              <w:bottom w:type="dxa" w:w="0"/>
              <w:right w:type="dxa" w:w="90"/>
            </w:tcMar>
            <w:vAlign w:val="top"/>
          </w:tcPr>
          <w:p>
            <w:pPr>
              <w:pStyle w:val="null3"/>
              <w:spacing w:after="120"/>
              <w:jc w:val="center"/>
            </w:pPr>
            <w:r>
              <w:rPr>
                <w:rFonts w:ascii="宋体" w:hAnsi="宋体" w:cs="宋体" w:eastAsia="宋体"/>
                <w:b/>
                <w:sz w:val="20"/>
              </w:rPr>
              <w:t>内容说明</w:t>
            </w:r>
          </w:p>
        </w:tc>
      </w:tr>
      <w:tr>
        <w:tc>
          <w:tcPr>
            <w:tcW w:type="dxa" w:w="877"/>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center"/>
            </w:pPr>
            <w:r>
              <w:rPr>
                <w:rFonts w:ascii="宋体" w:hAnsi="宋体" w:cs="宋体" w:eastAsia="宋体"/>
                <w:sz w:val="20"/>
              </w:rPr>
              <w:t>（项号</w:t>
            </w:r>
            <w:r>
              <w:rPr>
                <w:rFonts w:ascii="宋体" w:hAnsi="宋体" w:cs="宋体" w:eastAsia="宋体"/>
                <w:sz w:val="20"/>
              </w:rPr>
              <w:t>1）1</w:t>
            </w:r>
          </w:p>
        </w:tc>
        <w:tc>
          <w:tcPr>
            <w:tcW w:type="dxa" w:w="2544"/>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both"/>
            </w:pPr>
            <w:r>
              <w:rPr>
                <w:rFonts w:ascii="宋体" w:hAnsi="宋体" w:cs="宋体" w:eastAsia="宋体"/>
                <w:sz w:val="20"/>
              </w:rPr>
              <w:t>网站头部、底部基于原有页面设计切图</w:t>
            </w: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根据规范要求，对网站的头部和底部进行基于原有页面设计、切图。</w:t>
            </w:r>
          </w:p>
        </w:tc>
      </w:tr>
      <w:tr>
        <w:tc>
          <w:tcPr>
            <w:tcW w:type="dxa" w:w="877"/>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center"/>
            </w:pPr>
            <w:r>
              <w:rPr>
                <w:rFonts w:ascii="宋体" w:hAnsi="宋体" w:cs="宋体" w:eastAsia="宋体"/>
                <w:sz w:val="20"/>
              </w:rPr>
              <w:t>（项号</w:t>
            </w:r>
            <w:r>
              <w:rPr>
                <w:rFonts w:ascii="宋体" w:hAnsi="宋体" w:cs="宋体" w:eastAsia="宋体"/>
                <w:sz w:val="20"/>
              </w:rPr>
              <w:t>2）2</w:t>
            </w:r>
          </w:p>
        </w:tc>
        <w:tc>
          <w:tcPr>
            <w:tcW w:type="dxa" w:w="2544"/>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both"/>
            </w:pPr>
            <w:r>
              <w:rPr>
                <w:rFonts w:ascii="宋体" w:hAnsi="宋体" w:cs="宋体" w:eastAsia="宋体"/>
                <w:sz w:val="20"/>
              </w:rPr>
              <w:t>首页和一级页面基于原有页面设计切图</w:t>
            </w: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网站首页及一级页面基于原有页面设计、切图。</w:t>
            </w:r>
          </w:p>
        </w:tc>
      </w:tr>
      <w:tr>
        <w:tc>
          <w:tcPr>
            <w:tcW w:type="dxa" w:w="877"/>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center"/>
            </w:pPr>
            <w:r>
              <w:rPr>
                <w:rFonts w:ascii="宋体" w:hAnsi="宋体" w:cs="宋体" w:eastAsia="宋体"/>
                <w:sz w:val="20"/>
              </w:rPr>
              <w:t>（项号</w:t>
            </w:r>
            <w:r>
              <w:rPr>
                <w:rFonts w:ascii="宋体" w:hAnsi="宋体" w:cs="宋体" w:eastAsia="宋体"/>
                <w:sz w:val="20"/>
              </w:rPr>
              <w:t>3）3</w:t>
            </w:r>
          </w:p>
        </w:tc>
        <w:tc>
          <w:tcPr>
            <w:tcW w:type="dxa" w:w="2544"/>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both"/>
            </w:pPr>
            <w:r>
              <w:rPr>
                <w:rFonts w:ascii="宋体" w:hAnsi="宋体" w:cs="宋体" w:eastAsia="宋体"/>
                <w:sz w:val="20"/>
              </w:rPr>
              <w:t>页面展现设计改造</w:t>
            </w: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页面大小：通过调整样式扩宽全站界面的宽度。</w:t>
            </w:r>
          </w:p>
        </w:tc>
      </w:tr>
      <w:tr>
        <w:tc>
          <w:tcPr>
            <w:tcW w:type="dxa" w:w="877"/>
            <w:vMerge/>
            <w:tcBorders>
              <w:top w:val="none" w:color="000000" w:sz="4"/>
              <w:left w:val="single" w:color="000000" w:sz="4"/>
              <w:bottom w:val="single" w:color="000000" w:sz="4"/>
              <w:right w:val="single" w:color="000000" w:sz="4"/>
            </w:tcBorders>
          </w:tcPr>
          <w:p/>
        </w:tc>
        <w:tc>
          <w:tcPr>
            <w:tcW w:type="dxa" w:w="2544"/>
            <w:vMerge/>
            <w:tcBorders>
              <w:top w:val="none" w:color="000000" w:sz="4"/>
              <w:left w:val="single" w:color="000000" w:sz="4"/>
              <w:bottom w:val="single" w:color="000000" w:sz="4"/>
              <w:right w:val="single" w:color="000000" w:sz="4"/>
            </w:tcBorders>
          </w:tcP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字体字号：通过调整样式修改全站页面的字体字号大小。</w:t>
            </w:r>
          </w:p>
        </w:tc>
      </w:tr>
      <w:tr>
        <w:tc>
          <w:tcPr>
            <w:tcW w:type="dxa" w:w="877"/>
            <w:vMerge/>
            <w:tcBorders>
              <w:top w:val="none" w:color="000000" w:sz="4"/>
              <w:left w:val="single" w:color="000000" w:sz="4"/>
              <w:bottom w:val="single" w:color="000000" w:sz="4"/>
              <w:right w:val="single" w:color="000000" w:sz="4"/>
            </w:tcBorders>
          </w:tcPr>
          <w:p/>
        </w:tc>
        <w:tc>
          <w:tcPr>
            <w:tcW w:type="dxa" w:w="2544"/>
            <w:vMerge/>
            <w:tcBorders>
              <w:top w:val="none" w:color="000000" w:sz="4"/>
              <w:left w:val="single" w:color="000000" w:sz="4"/>
              <w:bottom w:val="single" w:color="000000" w:sz="4"/>
              <w:right w:val="single" w:color="000000" w:sz="4"/>
            </w:tcBorders>
          </w:tcP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颜色：通过调整样式修改全站页面全站色彩搭配，包括主色和辅色。</w:t>
            </w:r>
          </w:p>
        </w:tc>
      </w:tr>
      <w:tr>
        <w:tc>
          <w:tcPr>
            <w:tcW w:type="dxa" w:w="877"/>
            <w:vMerge/>
            <w:tcBorders>
              <w:top w:val="none" w:color="000000" w:sz="4"/>
              <w:left w:val="single" w:color="000000" w:sz="4"/>
              <w:bottom w:val="single" w:color="000000" w:sz="4"/>
              <w:right w:val="single" w:color="000000" w:sz="4"/>
            </w:tcBorders>
          </w:tcPr>
          <w:p/>
        </w:tc>
        <w:tc>
          <w:tcPr>
            <w:tcW w:type="dxa" w:w="2544"/>
            <w:vMerge/>
            <w:tcBorders>
              <w:top w:val="none" w:color="000000" w:sz="4"/>
              <w:left w:val="single" w:color="000000" w:sz="4"/>
              <w:bottom w:val="single" w:color="000000" w:sz="4"/>
              <w:right w:val="single" w:color="000000" w:sz="4"/>
            </w:tcBorders>
          </w:tcP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图片图标：根据《规范》修改网站图片和图标。</w:t>
            </w:r>
          </w:p>
        </w:tc>
      </w:tr>
      <w:tr>
        <w:tc>
          <w:tcPr>
            <w:tcW w:type="dxa" w:w="877"/>
            <w:vMerge/>
            <w:tcBorders>
              <w:top w:val="none" w:color="000000" w:sz="4"/>
              <w:left w:val="single" w:color="000000" w:sz="4"/>
              <w:bottom w:val="single" w:color="000000" w:sz="4"/>
              <w:right w:val="single" w:color="000000" w:sz="4"/>
            </w:tcBorders>
          </w:tcPr>
          <w:p/>
        </w:tc>
        <w:tc>
          <w:tcPr>
            <w:tcW w:type="dxa" w:w="2544"/>
            <w:vMerge/>
            <w:tcBorders>
              <w:top w:val="none" w:color="000000" w:sz="4"/>
              <w:left w:val="single" w:color="000000" w:sz="4"/>
              <w:bottom w:val="single" w:color="000000" w:sz="4"/>
              <w:right w:val="single" w:color="000000" w:sz="4"/>
            </w:tcBorders>
          </w:tcP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页面控件：根据《规范》规范修改网站页面控件，包括切换、按钮、分页条和表单等。</w:t>
            </w:r>
          </w:p>
        </w:tc>
      </w:tr>
      <w:tr>
        <w:tc>
          <w:tcPr>
            <w:tcW w:type="dxa" w:w="877"/>
            <w:vMerge/>
            <w:tcBorders>
              <w:top w:val="none" w:color="000000" w:sz="4"/>
              <w:left w:val="single" w:color="000000" w:sz="4"/>
              <w:bottom w:val="single" w:color="000000" w:sz="4"/>
              <w:right w:val="single" w:color="000000" w:sz="4"/>
            </w:tcBorders>
          </w:tcPr>
          <w:p/>
        </w:tc>
        <w:tc>
          <w:tcPr>
            <w:tcW w:type="dxa" w:w="2544"/>
            <w:vMerge/>
            <w:tcBorders>
              <w:top w:val="none" w:color="000000" w:sz="4"/>
              <w:left w:val="single" w:color="000000" w:sz="4"/>
              <w:bottom w:val="single" w:color="000000" w:sz="4"/>
              <w:right w:val="single" w:color="000000" w:sz="4"/>
            </w:tcBorders>
          </w:tcP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交互：根据《规范》，统一全站的页面交互。</w:t>
            </w:r>
          </w:p>
        </w:tc>
      </w:tr>
      <w:tr>
        <w:tc>
          <w:tcPr>
            <w:tcW w:type="dxa" w:w="877"/>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center"/>
            </w:pPr>
            <w:r>
              <w:rPr>
                <w:rFonts w:ascii="宋体" w:hAnsi="宋体" w:cs="宋体" w:eastAsia="宋体"/>
                <w:sz w:val="20"/>
              </w:rPr>
              <w:t>（项号</w:t>
            </w:r>
            <w:r>
              <w:rPr>
                <w:rFonts w:ascii="宋体" w:hAnsi="宋体" w:cs="宋体" w:eastAsia="宋体"/>
                <w:sz w:val="20"/>
              </w:rPr>
              <w:t>4）4</w:t>
            </w:r>
          </w:p>
        </w:tc>
        <w:tc>
          <w:tcPr>
            <w:tcW w:type="dxa" w:w="2544"/>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both"/>
            </w:pPr>
            <w:r>
              <w:rPr>
                <w:rFonts w:ascii="宋体" w:hAnsi="宋体" w:cs="宋体" w:eastAsia="宋体"/>
                <w:sz w:val="20"/>
              </w:rPr>
              <w:t>响应式改造</w:t>
            </w: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全站页面进行响应式切图，自动适应各种终端访问。</w:t>
            </w:r>
          </w:p>
        </w:tc>
      </w:tr>
      <w:tr>
        <w:tc>
          <w:tcPr>
            <w:tcW w:type="dxa" w:w="877"/>
            <w:vMerge/>
            <w:tcBorders>
              <w:top w:val="none" w:color="000000" w:sz="4"/>
              <w:left w:val="single" w:color="000000" w:sz="4"/>
              <w:bottom w:val="single" w:color="000000" w:sz="4"/>
              <w:right w:val="single" w:color="000000" w:sz="4"/>
            </w:tcBorders>
          </w:tcPr>
          <w:p/>
        </w:tc>
        <w:tc>
          <w:tcPr>
            <w:tcW w:type="dxa" w:w="2544"/>
            <w:vMerge/>
            <w:tcBorders>
              <w:top w:val="none" w:color="000000" w:sz="4"/>
              <w:left w:val="single" w:color="000000" w:sz="4"/>
              <w:bottom w:val="single" w:color="000000" w:sz="4"/>
              <w:right w:val="single" w:color="000000" w:sz="4"/>
            </w:tcBorders>
          </w:tcP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全站页面模板实施</w:t>
            </w:r>
          </w:p>
        </w:tc>
      </w:tr>
      <w:tr>
        <w:tc>
          <w:tcPr>
            <w:tcW w:type="dxa" w:w="877"/>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center"/>
            </w:pPr>
            <w:r>
              <w:rPr>
                <w:rFonts w:ascii="宋体" w:hAnsi="宋体" w:cs="宋体" w:eastAsia="宋体"/>
                <w:sz w:val="20"/>
              </w:rPr>
              <w:t>5</w:t>
            </w:r>
          </w:p>
        </w:tc>
        <w:tc>
          <w:tcPr>
            <w:tcW w:type="dxa" w:w="2544"/>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both"/>
            </w:pPr>
            <w:r>
              <w:rPr>
                <w:rFonts w:ascii="宋体" w:hAnsi="宋体" w:cs="宋体" w:eastAsia="宋体"/>
                <w:sz w:val="20"/>
              </w:rPr>
              <w:t>模板实施</w:t>
            </w: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color w:val="000000"/>
                <w:sz w:val="20"/>
              </w:rPr>
              <w:t>▲</w:t>
            </w:r>
            <w:r>
              <w:rPr>
                <w:rFonts w:ascii="宋体" w:hAnsi="宋体" w:cs="宋体" w:eastAsia="宋体"/>
                <w:sz w:val="20"/>
              </w:rPr>
              <w:t>网站头部、底部页面模板实施开发。</w:t>
            </w:r>
          </w:p>
        </w:tc>
      </w:tr>
      <w:tr>
        <w:tc>
          <w:tcPr>
            <w:tcW w:type="dxa" w:w="877"/>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center"/>
            </w:pPr>
            <w:r>
              <w:rPr>
                <w:rFonts w:ascii="宋体" w:hAnsi="宋体" w:cs="宋体" w:eastAsia="宋体"/>
                <w:sz w:val="20"/>
              </w:rPr>
              <w:t>（项号</w:t>
            </w:r>
            <w:r>
              <w:rPr>
                <w:rFonts w:ascii="宋体" w:hAnsi="宋体" w:cs="宋体" w:eastAsia="宋体"/>
                <w:sz w:val="20"/>
              </w:rPr>
              <w:t>5）6</w:t>
            </w:r>
          </w:p>
        </w:tc>
        <w:tc>
          <w:tcPr>
            <w:tcW w:type="dxa" w:w="2544"/>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both"/>
            </w:pPr>
            <w:r>
              <w:rPr>
                <w:rFonts w:ascii="宋体" w:hAnsi="宋体" w:cs="宋体" w:eastAsia="宋体"/>
                <w:sz w:val="20"/>
              </w:rPr>
              <w:t>页面替换测试</w:t>
            </w:r>
          </w:p>
        </w:tc>
        <w:tc>
          <w:tcPr>
            <w:tcW w:type="dxa" w:w="4869"/>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after="120"/>
              <w:jc w:val="left"/>
            </w:pPr>
            <w:r>
              <w:rPr>
                <w:rFonts w:ascii="宋体" w:hAnsi="宋体" w:cs="宋体" w:eastAsia="宋体"/>
                <w:sz w:val="20"/>
              </w:rPr>
              <w:t>根据设计页面，对全站页面样式替换和测试。</w:t>
            </w:r>
          </w:p>
        </w:tc>
      </w:tr>
    </w:tbl>
    <w:p>
      <w:pPr>
        <w:pStyle w:val="null3"/>
      </w:pPr>
    </w:p>
    <w:p>
      <w:pPr>
        <w:pStyle w:val="null3"/>
        <w:jc w:val="left"/>
        <w:outlineLvl w:val="1"/>
      </w:pPr>
      <w:r>
        <w:rPr>
          <w:rFonts w:ascii="宋体" w:hAnsi="宋体" w:cs="宋体" w:eastAsia="宋体"/>
          <w:b/>
          <w:sz w:val="20"/>
        </w:rPr>
        <w:t>（</w:t>
      </w:r>
      <w:r>
        <w:rPr>
          <w:rFonts w:ascii="宋体" w:hAnsi="宋体" w:cs="宋体" w:eastAsia="宋体"/>
          <w:b/>
          <w:sz w:val="20"/>
        </w:rPr>
        <w:t>2）适老化改造服务</w:t>
      </w:r>
    </w:p>
    <w:p>
      <w:pPr>
        <w:pStyle w:val="null3"/>
        <w:ind w:firstLine="480"/>
        <w:jc w:val="both"/>
      </w:pPr>
      <w:r>
        <w:rPr>
          <w:rFonts w:ascii="宋体" w:hAnsi="宋体" w:cs="宋体" w:eastAsia="宋体"/>
          <w:sz w:val="20"/>
        </w:rPr>
        <w:t>按照国务院办公厅和工业和信息化部要求，兼顾老年人、视障听障等群体需求，需要根据《互联网网站适老化通用设计规范》，对网站开展适老化改造，页面设计采用大字体、大图标、高对比度文字等，简化页面浏览路径、加大可点击区域、减少手动输入。</w:t>
      </w:r>
      <w:r>
        <w:rPr>
          <w:rFonts w:ascii="宋体" w:hAnsi="宋体" w:cs="宋体" w:eastAsia="宋体"/>
          <w:color w:val="000000"/>
          <w:sz w:val="20"/>
        </w:rPr>
        <w:t>提供老年人模式</w:t>
      </w:r>
      <w:r>
        <w:rPr>
          <w:rFonts w:ascii="宋体" w:hAnsi="宋体" w:cs="宋体" w:eastAsia="宋体"/>
          <w:sz w:val="20"/>
        </w:rPr>
        <w:t>，包括全站页面适老化适配、全站源码适老化适配和适老化辅助工具条开发，</w:t>
      </w:r>
      <w:r>
        <w:rPr>
          <w:rFonts w:ascii="宋体" w:hAnsi="宋体" w:cs="宋体" w:eastAsia="宋体"/>
          <w:color w:val="000000"/>
          <w:sz w:val="20"/>
        </w:rPr>
        <w:t>运维项目中</w:t>
      </w:r>
      <w:r>
        <w:rPr>
          <w:rFonts w:ascii="宋体" w:hAnsi="宋体" w:cs="宋体" w:eastAsia="宋体"/>
          <w:sz w:val="20"/>
        </w:rPr>
        <w:t>每一年服务期内提供的网站适老化服务授权，以及页面的相关运维服务。</w:t>
      </w:r>
    </w:p>
    <w:p>
      <w:pPr>
        <w:pStyle w:val="null3"/>
        <w:ind w:left="480"/>
      </w:pPr>
      <w:r>
        <w:rPr>
          <w:rFonts w:ascii="宋体" w:hAnsi="宋体" w:cs="宋体" w:eastAsia="宋体"/>
          <w:sz w:val="20"/>
        </w:rPr>
        <w:t>（项号</w:t>
      </w:r>
      <w:r>
        <w:rPr>
          <w:rFonts w:ascii="宋体" w:hAnsi="宋体" w:cs="宋体" w:eastAsia="宋体"/>
          <w:sz w:val="20"/>
        </w:rPr>
        <w:t>6）</w:t>
      </w:r>
      <w:r>
        <w:rPr>
          <w:rFonts w:ascii="宋体" w:hAnsi="宋体" w:cs="宋体" w:eastAsia="宋体"/>
          <w:b/>
          <w:sz w:val="20"/>
        </w:rPr>
        <w:t>2.1.入口设置</w:t>
      </w:r>
    </w:p>
    <w:p>
      <w:pPr>
        <w:pStyle w:val="null3"/>
        <w:ind w:firstLine="480"/>
        <w:jc w:val="both"/>
      </w:pPr>
      <w:r>
        <w:rPr>
          <w:rFonts w:ascii="宋体" w:hAnsi="宋体" w:cs="宋体" w:eastAsia="宋体"/>
          <w:sz w:val="20"/>
        </w:rPr>
        <w:t>入口放在福建省民政厅网站头部，能够让老年人用户快速找到该入口。加入动态效果，鼠标指针放在图标上时，图标整体变成较鲜艳的颜色提醒老年人用户进入适老版页面。</w:t>
      </w:r>
    </w:p>
    <w:p>
      <w:pPr>
        <w:pStyle w:val="null3"/>
        <w:ind w:firstLine="482"/>
        <w:jc w:val="both"/>
      </w:pPr>
      <w:r>
        <w:rPr>
          <w:rFonts w:ascii="宋体" w:hAnsi="宋体" w:cs="宋体" w:eastAsia="宋体"/>
          <w:sz w:val="20"/>
        </w:rPr>
        <w:t>（项号</w:t>
      </w:r>
      <w:r>
        <w:rPr>
          <w:rFonts w:ascii="宋体" w:hAnsi="宋体" w:cs="宋体" w:eastAsia="宋体"/>
          <w:sz w:val="20"/>
        </w:rPr>
        <w:t>7）</w:t>
      </w:r>
      <w:r>
        <w:rPr>
          <w:rFonts w:ascii="宋体" w:hAnsi="宋体" w:cs="宋体" w:eastAsia="宋体"/>
          <w:b/>
          <w:sz w:val="20"/>
        </w:rPr>
        <w:t>2.2.页面设计</w:t>
      </w:r>
    </w:p>
    <w:p>
      <w:pPr>
        <w:pStyle w:val="null3"/>
        <w:ind w:firstLine="480"/>
        <w:jc w:val="both"/>
      </w:pPr>
      <w:r>
        <w:rPr>
          <w:rFonts w:ascii="宋体" w:hAnsi="宋体" w:cs="宋体" w:eastAsia="宋体"/>
          <w:sz w:val="20"/>
        </w:rPr>
        <w:t>适老版页面要针对老年人用户的浏览习惯进行设计，需要设计包括首页、一级页面、列表页面、详细内容页面等。</w:t>
      </w:r>
    </w:p>
    <w:p>
      <w:pPr>
        <w:pStyle w:val="null3"/>
        <w:ind w:firstLine="482"/>
        <w:jc w:val="both"/>
      </w:pPr>
      <w:r>
        <w:rPr>
          <w:rFonts w:ascii="宋体" w:hAnsi="宋体" w:cs="宋体" w:eastAsia="宋体"/>
          <w:color w:val="000000"/>
          <w:sz w:val="20"/>
        </w:rPr>
        <w:t>▲</w:t>
      </w:r>
      <w:r>
        <w:rPr>
          <w:rFonts w:ascii="宋体" w:hAnsi="宋体" w:cs="宋体" w:eastAsia="宋体"/>
          <w:b/>
          <w:color w:val="000000"/>
          <w:sz w:val="20"/>
        </w:rPr>
        <w:t>2.</w:t>
      </w:r>
      <w:r>
        <w:rPr>
          <w:rFonts w:ascii="宋体" w:hAnsi="宋体" w:cs="宋体" w:eastAsia="宋体"/>
          <w:b/>
          <w:sz w:val="20"/>
        </w:rPr>
        <w:t>3.</w:t>
      </w:r>
      <w:r>
        <w:rPr>
          <w:rFonts w:ascii="宋体" w:hAnsi="宋体" w:cs="宋体" w:eastAsia="宋体"/>
          <w:b/>
          <w:sz w:val="20"/>
        </w:rPr>
        <w:t>长者助手功能（投标人须提供适老版辅助工具条功能描述）</w:t>
      </w:r>
    </w:p>
    <w:p>
      <w:pPr>
        <w:pStyle w:val="null3"/>
        <w:ind w:firstLine="480"/>
        <w:jc w:val="both"/>
      </w:pPr>
      <w:r>
        <w:rPr>
          <w:rFonts w:ascii="宋体" w:hAnsi="宋体" w:cs="宋体" w:eastAsia="宋体"/>
          <w:sz w:val="20"/>
        </w:rPr>
        <w:t>适老版页面需要加入返回首页、键盘操作、大字幕、鼠标样式、放大页面、缩小页面、语音阅读等功能。</w:t>
      </w:r>
    </w:p>
    <w:p>
      <w:pPr>
        <w:pStyle w:val="null3"/>
        <w:ind w:firstLine="480"/>
        <w:jc w:val="both"/>
      </w:pPr>
      <w:r>
        <w:rPr>
          <w:rFonts w:ascii="宋体" w:hAnsi="宋体" w:cs="宋体" w:eastAsia="宋体"/>
          <w:sz w:val="20"/>
        </w:rPr>
        <w:t>（</w:t>
      </w:r>
      <w:r>
        <w:rPr>
          <w:rFonts w:ascii="宋体" w:hAnsi="宋体" w:cs="宋体" w:eastAsia="宋体"/>
          <w:sz w:val="20"/>
        </w:rPr>
        <w:t>1）返回首页：点击后返回大字版首页；</w:t>
      </w:r>
    </w:p>
    <w:p>
      <w:pPr>
        <w:pStyle w:val="null3"/>
        <w:ind w:firstLine="480"/>
        <w:jc w:val="both"/>
      </w:pPr>
      <w:r>
        <w:rPr>
          <w:rFonts w:ascii="宋体" w:hAnsi="宋体" w:cs="宋体" w:eastAsia="宋体"/>
          <w:sz w:val="20"/>
        </w:rPr>
        <w:t>（</w:t>
      </w:r>
      <w:r>
        <w:rPr>
          <w:rFonts w:ascii="宋体" w:hAnsi="宋体" w:cs="宋体" w:eastAsia="宋体"/>
          <w:sz w:val="20"/>
        </w:rPr>
        <w:t>2）键盘操作：点击后需要能用键盘控制网页，键盘上下左右控制移动选择栏目；</w:t>
      </w:r>
    </w:p>
    <w:p>
      <w:pPr>
        <w:pStyle w:val="null3"/>
        <w:ind w:firstLine="480"/>
        <w:jc w:val="both"/>
      </w:pPr>
      <w:r>
        <w:rPr>
          <w:rFonts w:ascii="宋体" w:hAnsi="宋体" w:cs="宋体" w:eastAsia="宋体"/>
          <w:sz w:val="20"/>
        </w:rPr>
        <w:t>（</w:t>
      </w:r>
      <w:r>
        <w:rPr>
          <w:rFonts w:ascii="宋体" w:hAnsi="宋体" w:cs="宋体" w:eastAsia="宋体"/>
          <w:sz w:val="20"/>
        </w:rPr>
        <w:t>3）大字幕：提供福建省民政厅网站中的字幕功能；</w:t>
      </w:r>
    </w:p>
    <w:p>
      <w:pPr>
        <w:pStyle w:val="null3"/>
        <w:ind w:firstLine="480"/>
        <w:jc w:val="both"/>
      </w:pPr>
      <w:r>
        <w:rPr>
          <w:rFonts w:ascii="宋体" w:hAnsi="宋体" w:cs="宋体" w:eastAsia="宋体"/>
          <w:sz w:val="20"/>
        </w:rPr>
        <w:t>（</w:t>
      </w:r>
      <w:r>
        <w:rPr>
          <w:rFonts w:ascii="宋体" w:hAnsi="宋体" w:cs="宋体" w:eastAsia="宋体"/>
          <w:sz w:val="20"/>
        </w:rPr>
        <w:t>4）鼠标样式：点击“鼠标样式”按钮后指针整体变大变黑；</w:t>
      </w:r>
    </w:p>
    <w:p>
      <w:pPr>
        <w:pStyle w:val="null3"/>
        <w:ind w:firstLine="480"/>
        <w:jc w:val="both"/>
      </w:pPr>
      <w:r>
        <w:rPr>
          <w:rFonts w:ascii="宋体" w:hAnsi="宋体" w:cs="宋体" w:eastAsia="宋体"/>
          <w:sz w:val="20"/>
        </w:rPr>
        <w:t>（</w:t>
      </w:r>
      <w:r>
        <w:rPr>
          <w:rFonts w:ascii="宋体" w:hAnsi="宋体" w:cs="宋体" w:eastAsia="宋体"/>
          <w:sz w:val="20"/>
        </w:rPr>
        <w:t>5）放大页面：最大放大值为200%；</w:t>
      </w:r>
    </w:p>
    <w:p>
      <w:pPr>
        <w:pStyle w:val="null3"/>
        <w:ind w:firstLine="480"/>
        <w:jc w:val="both"/>
      </w:pPr>
      <w:r>
        <w:rPr>
          <w:rFonts w:ascii="宋体" w:hAnsi="宋体" w:cs="宋体" w:eastAsia="宋体"/>
          <w:sz w:val="20"/>
        </w:rPr>
        <w:t>（</w:t>
      </w:r>
      <w:r>
        <w:rPr>
          <w:rFonts w:ascii="宋体" w:hAnsi="宋体" w:cs="宋体" w:eastAsia="宋体"/>
          <w:sz w:val="20"/>
        </w:rPr>
        <w:t>6）缩小页面：最小缩小值为</w:t>
      </w:r>
      <w:r>
        <w:rPr>
          <w:rFonts w:ascii="宋体" w:hAnsi="宋体" w:cs="宋体" w:eastAsia="宋体"/>
          <w:sz w:val="20"/>
        </w:rPr>
        <w:t>200</w:t>
      </w:r>
      <w:r>
        <w:rPr>
          <w:rFonts w:ascii="宋体" w:hAnsi="宋体" w:cs="宋体" w:eastAsia="宋体"/>
          <w:sz w:val="20"/>
        </w:rPr>
        <w:t>%；</w:t>
      </w:r>
    </w:p>
    <w:p>
      <w:pPr>
        <w:pStyle w:val="null3"/>
        <w:ind w:firstLine="480"/>
        <w:jc w:val="both"/>
      </w:pPr>
      <w:r>
        <w:rPr>
          <w:rFonts w:ascii="宋体" w:hAnsi="宋体" w:cs="宋体" w:eastAsia="宋体"/>
          <w:sz w:val="20"/>
        </w:rPr>
        <w:t>（</w:t>
      </w:r>
      <w:r>
        <w:rPr>
          <w:rFonts w:ascii="宋体" w:hAnsi="宋体" w:cs="宋体" w:eastAsia="宋体"/>
          <w:sz w:val="20"/>
        </w:rPr>
        <w:t>7）语音阅读：点击后连续阅读整个网页或指读；</w:t>
      </w:r>
    </w:p>
    <w:p>
      <w:pPr>
        <w:pStyle w:val="null3"/>
        <w:ind w:firstLine="482"/>
        <w:jc w:val="both"/>
      </w:pPr>
      <w:r>
        <w:rPr>
          <w:rFonts w:ascii="宋体" w:hAnsi="宋体" w:cs="宋体" w:eastAsia="宋体"/>
          <w:sz w:val="20"/>
        </w:rPr>
        <w:t>（项号</w:t>
      </w:r>
      <w:r>
        <w:rPr>
          <w:rFonts w:ascii="宋体" w:hAnsi="宋体" w:cs="宋体" w:eastAsia="宋体"/>
          <w:sz w:val="20"/>
        </w:rPr>
        <w:t>8）</w:t>
      </w:r>
      <w:r>
        <w:rPr>
          <w:rFonts w:ascii="宋体" w:hAnsi="宋体" w:cs="宋体" w:eastAsia="宋体"/>
          <w:b/>
          <w:sz w:val="20"/>
        </w:rPr>
        <w:t>2.4.响应式设计和焦点状态</w:t>
      </w:r>
    </w:p>
    <w:p>
      <w:pPr>
        <w:pStyle w:val="null3"/>
        <w:ind w:firstLine="480"/>
        <w:jc w:val="both"/>
      </w:pPr>
      <w:r>
        <w:rPr>
          <w:rFonts w:ascii="宋体" w:hAnsi="宋体" w:cs="宋体" w:eastAsia="宋体"/>
          <w:sz w:val="20"/>
        </w:rPr>
        <w:t>页面需支持响应式设计。鼠标、指读、键盘操作聚焦到页面各组件时，该组件应有明显的状态提示。</w:t>
      </w:r>
    </w:p>
    <w:p>
      <w:pPr>
        <w:pStyle w:val="null3"/>
        <w:jc w:val="left"/>
        <w:outlineLvl w:val="1"/>
      </w:pPr>
      <w:r>
        <w:rPr>
          <w:rFonts w:ascii="宋体" w:hAnsi="宋体" w:cs="宋体" w:eastAsia="宋体"/>
          <w:b/>
          <w:sz w:val="20"/>
        </w:rPr>
        <w:t>（</w:t>
      </w:r>
      <w:r>
        <w:rPr>
          <w:rFonts w:ascii="宋体" w:hAnsi="宋体" w:cs="宋体" w:eastAsia="宋体"/>
          <w:b/>
          <w:sz w:val="20"/>
        </w:rPr>
        <w:t>3）“搜索即服务”开发服务</w:t>
      </w:r>
    </w:p>
    <w:p>
      <w:pPr>
        <w:pStyle w:val="null3"/>
        <w:ind w:firstLine="402"/>
        <w:jc w:val="both"/>
      </w:pPr>
      <w:r>
        <w:rPr>
          <w:rFonts w:ascii="宋体" w:hAnsi="宋体" w:cs="宋体" w:eastAsia="宋体"/>
          <w:b/>
          <w:sz w:val="20"/>
        </w:rPr>
        <w:t>3.1.网站智能搜索服务</w:t>
      </w:r>
    </w:p>
    <w:p>
      <w:pPr>
        <w:pStyle w:val="null3"/>
        <w:ind w:firstLine="480"/>
        <w:jc w:val="both"/>
      </w:pPr>
      <w:r>
        <w:rPr>
          <w:rFonts w:ascii="宋体" w:hAnsi="宋体" w:cs="宋体" w:eastAsia="宋体"/>
          <w:sz w:val="20"/>
        </w:rPr>
        <w:t>需根据《政府网站发展指引》要求</w:t>
      </w:r>
      <w:r>
        <w:rPr>
          <w:rFonts w:ascii="宋体" w:hAnsi="宋体" w:cs="宋体" w:eastAsia="宋体"/>
          <w:sz w:val="20"/>
        </w:rPr>
        <w:t>“优化政府网站搜索功能，对现有网站搜索页面进行重新设计，引入响应式设计，实现搜索相关的页面能够自动匹配适应多种终端访问。基于省级政府网站统一技术平台智能搜索系统基础能力开发智能搜索功能，提供错别字自动纠正、关键词推荐、拼音转化搜索和通俗语言搜索等功能服务。根据用户真实需求调整搜索结果排序，提供多维度分类展现，聚合相关信息和服务，实现‘搜索即服务’”。为落实相关政策要求，政府网站以用户为中心，结合自身政府网站信息内容与服务特色，积极在数据利用方面深度创新，打造智能化场景化搜索，聚合相关信息和服务，实现“搜索即服务”，有力提升群众信息获得感及良好的网站使用感，运维项目中每年提供网站智能搜索云服务授权以及相关运维服务。具体包括以下内容：</w:t>
      </w:r>
    </w:p>
    <w:p>
      <w:pPr>
        <w:pStyle w:val="null3"/>
        <w:ind w:firstLine="480"/>
        <w:jc w:val="both"/>
      </w:pPr>
      <w:r>
        <w:rPr>
          <w:rFonts w:ascii="宋体" w:hAnsi="宋体" w:cs="宋体" w:eastAsia="宋体"/>
          <w:sz w:val="20"/>
        </w:rPr>
        <w:t>（项号</w:t>
      </w:r>
      <w:r>
        <w:rPr>
          <w:rFonts w:ascii="宋体" w:hAnsi="宋体" w:cs="宋体" w:eastAsia="宋体"/>
          <w:sz w:val="20"/>
        </w:rPr>
        <w:t>9）</w:t>
      </w:r>
      <w:r>
        <w:rPr>
          <w:rFonts w:ascii="宋体" w:hAnsi="宋体" w:cs="宋体" w:eastAsia="宋体"/>
          <w:sz w:val="20"/>
        </w:rPr>
        <w:t>（</w:t>
      </w:r>
      <w:r>
        <w:rPr>
          <w:rFonts w:ascii="宋体" w:hAnsi="宋体" w:cs="宋体" w:eastAsia="宋体"/>
          <w:sz w:val="20"/>
        </w:rPr>
        <w:t>1）智能搜索页面设计</w:t>
      </w:r>
    </w:p>
    <w:p>
      <w:pPr>
        <w:pStyle w:val="null3"/>
        <w:ind w:firstLine="480"/>
        <w:jc w:val="both"/>
      </w:pPr>
      <w:r>
        <w:rPr>
          <w:rFonts w:ascii="宋体" w:hAnsi="宋体" w:cs="宋体" w:eastAsia="宋体"/>
          <w:sz w:val="20"/>
        </w:rPr>
        <w:t>对网站搜索页面进行改版设计，实现页面框架、头尾标识、字体字号、颜色搭配等方面的统一，提搜索服务水平和用户体验。</w:t>
      </w:r>
    </w:p>
    <w:p>
      <w:pPr>
        <w:pStyle w:val="null3"/>
        <w:ind w:firstLine="480"/>
        <w:jc w:val="both"/>
      </w:pPr>
      <w:r>
        <w:rPr>
          <w:rFonts w:ascii="宋体" w:hAnsi="宋体" w:cs="宋体" w:eastAsia="宋体"/>
          <w:sz w:val="20"/>
        </w:rPr>
        <w:t>（项号</w:t>
      </w:r>
      <w:r>
        <w:rPr>
          <w:rFonts w:ascii="宋体" w:hAnsi="宋体" w:cs="宋体" w:eastAsia="宋体"/>
          <w:sz w:val="20"/>
        </w:rPr>
        <w:t>10）</w:t>
      </w:r>
      <w:r>
        <w:rPr>
          <w:rFonts w:ascii="宋体" w:hAnsi="宋体" w:cs="宋体" w:eastAsia="宋体"/>
          <w:sz w:val="20"/>
        </w:rPr>
        <w:t>（</w:t>
      </w:r>
      <w:r>
        <w:rPr>
          <w:rFonts w:ascii="宋体" w:hAnsi="宋体" w:cs="宋体" w:eastAsia="宋体"/>
          <w:sz w:val="20"/>
        </w:rPr>
        <w:t>2）智能搜索页面实施</w:t>
      </w:r>
    </w:p>
    <w:p>
      <w:pPr>
        <w:pStyle w:val="null3"/>
        <w:ind w:firstLine="480"/>
        <w:jc w:val="both"/>
      </w:pPr>
      <w:r>
        <w:rPr>
          <w:rFonts w:ascii="宋体" w:hAnsi="宋体" w:cs="宋体" w:eastAsia="宋体"/>
          <w:sz w:val="20"/>
        </w:rPr>
        <w:t>对设计后的搜索页面进行实施工作，确保页面及功能的稳定性和安全性。</w:t>
      </w:r>
    </w:p>
    <w:p>
      <w:pPr>
        <w:pStyle w:val="null3"/>
        <w:ind w:firstLine="480"/>
        <w:jc w:val="both"/>
      </w:pPr>
      <w:r>
        <w:rPr>
          <w:rFonts w:ascii="宋体" w:hAnsi="宋体" w:cs="宋体" w:eastAsia="宋体"/>
          <w:sz w:val="20"/>
        </w:rPr>
        <w:t>（项号</w:t>
      </w:r>
      <w:r>
        <w:rPr>
          <w:rFonts w:ascii="宋体" w:hAnsi="宋体" w:cs="宋体" w:eastAsia="宋体"/>
          <w:sz w:val="20"/>
        </w:rPr>
        <w:t>11）</w:t>
      </w:r>
      <w:r>
        <w:rPr>
          <w:rFonts w:ascii="宋体" w:hAnsi="宋体" w:cs="宋体" w:eastAsia="宋体"/>
          <w:sz w:val="20"/>
        </w:rPr>
        <w:t>（</w:t>
      </w:r>
      <w:r>
        <w:rPr>
          <w:rFonts w:ascii="宋体" w:hAnsi="宋体" w:cs="宋体" w:eastAsia="宋体"/>
          <w:sz w:val="20"/>
        </w:rPr>
        <w:t>3）响应式设计</w:t>
      </w:r>
    </w:p>
    <w:p>
      <w:pPr>
        <w:pStyle w:val="null3"/>
        <w:ind w:firstLine="480"/>
        <w:jc w:val="both"/>
      </w:pPr>
      <w:r>
        <w:rPr>
          <w:rFonts w:ascii="宋体" w:hAnsi="宋体" w:cs="宋体" w:eastAsia="宋体"/>
          <w:sz w:val="20"/>
        </w:rPr>
        <w:t>根据互联网发展变化和公众使用习惯，引入响应式设计，实现搜索相关的页面能够自动匹配适应多种终端访问。</w:t>
      </w:r>
    </w:p>
    <w:p>
      <w:pPr>
        <w:pStyle w:val="null3"/>
        <w:spacing w:before="255" w:after="255"/>
        <w:jc w:val="both"/>
        <w:outlineLvl w:val="2"/>
      </w:pPr>
      <w:r>
        <w:rPr>
          <w:rFonts w:ascii="宋体" w:hAnsi="宋体" w:cs="宋体" w:eastAsia="宋体"/>
          <w:b/>
          <w:sz w:val="20"/>
          <w:shd w:fill="FFFFFF" w:val="clear"/>
        </w:rPr>
        <w:t>3.2.网站智能搜索场景服务</w:t>
      </w:r>
    </w:p>
    <w:p>
      <w:pPr>
        <w:pStyle w:val="null3"/>
        <w:ind w:firstLine="480"/>
        <w:jc w:val="both"/>
      </w:pPr>
      <w:r>
        <w:rPr>
          <w:rFonts w:ascii="宋体" w:hAnsi="宋体" w:cs="宋体" w:eastAsia="宋体"/>
          <w:sz w:val="20"/>
        </w:rPr>
        <w:t>（项号</w:t>
      </w:r>
      <w:r>
        <w:rPr>
          <w:rFonts w:ascii="宋体" w:hAnsi="宋体" w:cs="宋体" w:eastAsia="宋体"/>
          <w:sz w:val="20"/>
        </w:rPr>
        <w:t>12）</w:t>
      </w:r>
      <w:r>
        <w:rPr>
          <w:rFonts w:ascii="宋体" w:hAnsi="宋体" w:cs="宋体" w:eastAsia="宋体"/>
          <w:color w:val="000000"/>
          <w:sz w:val="20"/>
        </w:rPr>
        <w:t>依托省级政府网站统一技术平台智能搜索系统，对现有的网站搜索页面进行改版和页面实施，引入响应式设计，实现搜索相关的页面能够自动匹配适应多种终端访问。结合网站资源情况，开发</w:t>
      </w:r>
      <w:r>
        <w:rPr>
          <w:rFonts w:ascii="宋体" w:hAnsi="宋体" w:cs="宋体" w:eastAsia="宋体"/>
          <w:color w:val="000000"/>
          <w:sz w:val="20"/>
        </w:rPr>
        <w:t>“搜索即服务”场景事项。包括领导名片多媒体展示，专题专栏内容聚展示，主题关键词形式聚合展示服务、政策和资讯内容，教育行业搜索结果数据可视化展示以及高频便民服务搜索结果框应用，运维项目中完成以下场景的定制服务。</w:t>
      </w:r>
    </w:p>
    <w:p>
      <w:pPr>
        <w:pStyle w:val="null3"/>
        <w:ind w:firstLine="480"/>
        <w:jc w:val="both"/>
      </w:pPr>
      <w:r>
        <w:rPr>
          <w:rFonts w:ascii="宋体" w:hAnsi="宋体" w:cs="宋体" w:eastAsia="宋体"/>
          <w:color w:val="000000"/>
          <w:sz w:val="20"/>
        </w:rPr>
        <w:t>▲</w:t>
      </w:r>
      <w:r>
        <w:rPr>
          <w:rFonts w:ascii="宋体" w:hAnsi="宋体" w:cs="宋体" w:eastAsia="宋体"/>
          <w:sz w:val="20"/>
        </w:rPr>
        <w:t>（</w:t>
      </w:r>
      <w:r>
        <w:rPr>
          <w:rFonts w:ascii="宋体" w:hAnsi="宋体" w:cs="宋体" w:eastAsia="宋体"/>
          <w:b/>
          <w:sz w:val="20"/>
          <w:shd w:fill="FFFFFF" w:val="clear"/>
        </w:rPr>
        <w:t>投标人须提供以下智能搜索场景功能说明</w:t>
      </w:r>
      <w:r>
        <w:rPr>
          <w:rFonts w:ascii="宋体" w:hAnsi="宋体" w:cs="宋体" w:eastAsia="宋体"/>
          <w:sz w:val="20"/>
        </w:rPr>
        <w:t>）</w:t>
      </w:r>
    </w:p>
    <w:p>
      <w:pPr>
        <w:pStyle w:val="null3"/>
        <w:ind w:firstLine="480"/>
        <w:jc w:val="both"/>
      </w:pPr>
      <w:r>
        <w:rPr>
          <w:rFonts w:ascii="宋体" w:hAnsi="宋体" w:cs="宋体" w:eastAsia="宋体"/>
          <w:color w:val="000000"/>
          <w:sz w:val="20"/>
        </w:rPr>
        <w:t>（</w:t>
      </w:r>
      <w:r>
        <w:rPr>
          <w:rFonts w:ascii="宋体" w:hAnsi="宋体" w:cs="宋体" w:eastAsia="宋体"/>
          <w:color w:val="000000"/>
          <w:sz w:val="20"/>
        </w:rPr>
        <w:t>1）结合特定业务关键词实现对政策、数据搜索结果的可视化。</w:t>
      </w:r>
    </w:p>
    <w:p>
      <w:pPr>
        <w:pStyle w:val="null3"/>
        <w:ind w:firstLine="480"/>
        <w:jc w:val="both"/>
      </w:pPr>
      <w:r>
        <w:rPr>
          <w:rFonts w:ascii="宋体" w:hAnsi="宋体" w:cs="宋体" w:eastAsia="宋体"/>
          <w:color w:val="000000"/>
          <w:sz w:val="20"/>
        </w:rPr>
        <w:t>（</w:t>
      </w:r>
      <w:r>
        <w:rPr>
          <w:rFonts w:ascii="宋体" w:hAnsi="宋体" w:cs="宋体" w:eastAsia="宋体"/>
          <w:color w:val="000000"/>
          <w:sz w:val="20"/>
        </w:rPr>
        <w:t>2）结合特定业务关键词实现政务服务搜索结果的场景化。</w:t>
      </w:r>
    </w:p>
    <w:p>
      <w:pPr>
        <w:pStyle w:val="null3"/>
        <w:ind w:firstLine="480"/>
        <w:jc w:val="both"/>
      </w:pPr>
      <w:r>
        <w:rPr>
          <w:rFonts w:ascii="宋体" w:hAnsi="宋体" w:cs="宋体" w:eastAsia="宋体"/>
          <w:color w:val="000000"/>
          <w:sz w:val="20"/>
        </w:rPr>
        <w:t>（</w:t>
      </w:r>
      <w:r>
        <w:rPr>
          <w:rFonts w:ascii="宋体" w:hAnsi="宋体" w:cs="宋体" w:eastAsia="宋体"/>
          <w:color w:val="000000"/>
          <w:sz w:val="20"/>
        </w:rPr>
        <w:t>3）结合特定业务关键词实现关联信息的聚合化。</w:t>
      </w:r>
    </w:p>
    <w:p>
      <w:pPr>
        <w:pStyle w:val="null3"/>
        <w:jc w:val="left"/>
        <w:outlineLvl w:val="1"/>
      </w:pPr>
      <w:r>
        <w:rPr>
          <w:rFonts w:ascii="宋体" w:hAnsi="宋体" w:cs="宋体" w:eastAsia="宋体"/>
          <w:b/>
          <w:sz w:val="20"/>
        </w:rPr>
        <w:t>（</w:t>
      </w:r>
      <w:r>
        <w:rPr>
          <w:rFonts w:ascii="宋体" w:hAnsi="宋体" w:cs="宋体" w:eastAsia="宋体"/>
          <w:b/>
          <w:sz w:val="20"/>
        </w:rPr>
        <w:t>4）网站运行维护服务</w:t>
      </w:r>
    </w:p>
    <w:p>
      <w:pPr>
        <w:pStyle w:val="null3"/>
        <w:ind w:firstLine="480"/>
        <w:jc w:val="both"/>
      </w:pPr>
      <w:r>
        <w:rPr>
          <w:rFonts w:ascii="宋体" w:hAnsi="宋体" w:cs="宋体" w:eastAsia="宋体"/>
          <w:color w:val="000000"/>
          <w:sz w:val="20"/>
        </w:rPr>
        <w:t>在服务期内中标人应提供技术支持人员的名单和联系方式，保证采购人可以随时找到响应的技术人员。同时提供</w:t>
      </w:r>
      <w:r>
        <w:rPr>
          <w:rFonts w:ascii="宋体" w:hAnsi="宋体" w:cs="宋体" w:eastAsia="宋体"/>
          <w:color w:val="000000"/>
          <w:sz w:val="20"/>
        </w:rPr>
        <w:t>7×24小时的服务响应，并1小时内做出明确响应和安排，非灾难性问题在1小时内解决，并做出故障诊断报告。如需现场服务的，具有解决故障能力的工程师应在3小时内到达现场。同时按测评要求配合软件第三方性能测试及网站安全评估工作，对问题进行整改、第三方安全评估要求及其他安全问题进行修复，并整理提供修复报告。</w:t>
      </w:r>
    </w:p>
    <w:p>
      <w:pPr>
        <w:pStyle w:val="null3"/>
        <w:ind w:firstLine="480"/>
        <w:jc w:val="both"/>
      </w:pPr>
      <w:r>
        <w:rPr>
          <w:rFonts w:ascii="宋体" w:hAnsi="宋体" w:cs="宋体" w:eastAsia="宋体"/>
          <w:color w:val="000000"/>
          <w:sz w:val="20"/>
        </w:rPr>
        <w:t>基于福建省级政府网站统一技术平台网站内容管理系统，提供个性化页面设计、前端功能界面调整及专题专栏制作服务等。包含以下内容，</w:t>
      </w:r>
      <w:r>
        <w:rPr>
          <w:rFonts w:ascii="宋体" w:hAnsi="宋体" w:cs="宋体" w:eastAsia="宋体"/>
          <w:sz w:val="20"/>
        </w:rPr>
        <w:t>具体要求如下：</w:t>
      </w:r>
    </w:p>
    <w:tbl>
      <w:tblPr>
        <w:tblW w:w="0" w:type="auto"/>
        <w:tblBorders>
          <w:top w:val="none" w:color="000000" w:sz="4"/>
          <w:left w:val="none" w:color="000000" w:sz="4"/>
          <w:bottom w:val="none" w:color="000000" w:sz="4"/>
          <w:right w:val="none" w:color="000000" w:sz="4"/>
          <w:insideH w:val="none"/>
          <w:insideV w:val="none"/>
        </w:tblBorders>
      </w:tblPr>
      <w:tblGrid>
        <w:gridCol w:w="601"/>
        <w:gridCol w:w="744"/>
        <w:gridCol w:w="1904"/>
        <w:gridCol w:w="3966"/>
        <w:gridCol w:w="1059"/>
      </w:tblGrid>
      <w:tr>
        <w:tc>
          <w:tcPr>
            <w:tcW w:type="dxa" w:w="601"/>
            <w:tcBorders>
              <w:top w:val="double" w:color="000000" w:sz="4"/>
              <w:left w:val="doub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20"/>
              <w:jc w:val="center"/>
            </w:pPr>
            <w:r>
              <w:rPr>
                <w:rFonts w:ascii="宋体" w:hAnsi="宋体" w:cs="宋体" w:eastAsia="宋体"/>
                <w:b/>
                <w:sz w:val="20"/>
              </w:rPr>
              <w:t>序号</w:t>
            </w:r>
          </w:p>
        </w:tc>
        <w:tc>
          <w:tcPr>
            <w:tcW w:type="dxa" w:w="744"/>
            <w:tcBorders>
              <w:top w:val="doub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20"/>
              <w:jc w:val="center"/>
            </w:pPr>
            <w:r>
              <w:rPr>
                <w:rFonts w:ascii="宋体" w:hAnsi="宋体" w:cs="宋体" w:eastAsia="宋体"/>
                <w:b/>
                <w:sz w:val="20"/>
              </w:rPr>
              <w:t>项目</w:t>
            </w:r>
          </w:p>
        </w:tc>
        <w:tc>
          <w:tcPr>
            <w:tcW w:type="dxa" w:w="1904"/>
            <w:tcBorders>
              <w:top w:val="doub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20"/>
              <w:jc w:val="center"/>
            </w:pPr>
            <w:r>
              <w:rPr>
                <w:rFonts w:ascii="宋体" w:hAnsi="宋体" w:cs="宋体" w:eastAsia="宋体"/>
                <w:b/>
                <w:sz w:val="20"/>
              </w:rPr>
              <w:t>子项目</w:t>
            </w:r>
          </w:p>
        </w:tc>
        <w:tc>
          <w:tcPr>
            <w:tcW w:type="dxa" w:w="3966"/>
            <w:tcBorders>
              <w:top w:val="doub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20"/>
              <w:jc w:val="center"/>
            </w:pPr>
            <w:r>
              <w:rPr>
                <w:rFonts w:ascii="宋体" w:hAnsi="宋体" w:cs="宋体" w:eastAsia="宋体"/>
                <w:b/>
                <w:sz w:val="20"/>
              </w:rPr>
              <w:t>说明</w:t>
            </w:r>
          </w:p>
        </w:tc>
        <w:tc>
          <w:tcPr>
            <w:tcW w:type="dxa" w:w="1059"/>
            <w:tcBorders>
              <w:top w:val="double" w:color="000000" w:sz="4"/>
              <w:left w:val="single" w:color="000000" w:sz="4"/>
              <w:bottom w:val="single" w:color="000000" w:sz="4"/>
              <w:right w:val="double" w:color="000000" w:sz="4"/>
            </w:tcBorders>
            <w:shd w:fill="D9D9D9"/>
            <w:tcMar>
              <w:top w:type="dxa" w:w="0"/>
              <w:left w:type="dxa" w:w="105"/>
              <w:bottom w:type="dxa" w:w="0"/>
              <w:right w:type="dxa" w:w="105"/>
            </w:tcMar>
            <w:vAlign w:val="top"/>
          </w:tcPr>
          <w:p>
            <w:pPr>
              <w:pStyle w:val="null3"/>
              <w:spacing w:after="120"/>
              <w:jc w:val="center"/>
            </w:pPr>
            <w:r>
              <w:rPr>
                <w:rFonts w:ascii="宋体" w:hAnsi="宋体" w:cs="宋体" w:eastAsia="宋体"/>
                <w:b/>
                <w:sz w:val="20"/>
              </w:rPr>
              <w:t>数量</w:t>
            </w:r>
          </w:p>
          <w:p>
            <w:pPr>
              <w:pStyle w:val="null3"/>
              <w:spacing w:after="120"/>
              <w:jc w:val="center"/>
            </w:pPr>
            <w:r>
              <w:rPr>
                <w:rFonts w:ascii="宋体" w:hAnsi="宋体" w:cs="宋体" w:eastAsia="宋体"/>
                <w:b/>
                <w:sz w:val="20"/>
              </w:rPr>
              <w:t>（</w:t>
            </w:r>
            <w:r>
              <w:rPr>
                <w:rFonts w:ascii="宋体" w:hAnsi="宋体" w:cs="宋体" w:eastAsia="宋体"/>
                <w:b/>
                <w:sz w:val="20"/>
              </w:rPr>
              <w:t>1年）</w:t>
            </w:r>
          </w:p>
        </w:tc>
      </w:tr>
      <w:tr>
        <w:tc>
          <w:tcPr>
            <w:tcW w:type="dxa" w:w="601"/>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（项号</w:t>
            </w:r>
            <w:r>
              <w:rPr>
                <w:rFonts w:ascii="宋体" w:hAnsi="宋体" w:cs="宋体" w:eastAsia="宋体"/>
                <w:sz w:val="20"/>
              </w:rPr>
              <w:t>13）</w:t>
            </w:r>
            <w:r>
              <w:rPr>
                <w:rFonts w:ascii="宋体" w:hAnsi="宋体" w:cs="宋体" w:eastAsia="宋体"/>
                <w:sz w:val="20"/>
              </w:rPr>
              <w:t>1</w:t>
            </w:r>
          </w:p>
        </w:tc>
        <w:tc>
          <w:tcPr>
            <w:tcW w:type="dxa" w:w="7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界面</w:t>
            </w:r>
          </w:p>
          <w:p>
            <w:pPr>
              <w:pStyle w:val="null3"/>
              <w:jc w:val="both"/>
            </w:pPr>
            <w:r>
              <w:rPr>
                <w:rFonts w:ascii="宋体" w:hAnsi="宋体" w:cs="宋体" w:eastAsia="宋体"/>
                <w:sz w:val="20"/>
              </w:rPr>
              <w:t>调整</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网站首页、一级页面中的局部模块重新设计调整</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sz w:val="20"/>
              </w:rPr>
              <w:t>不改变网站页面整体风格和布局的情况下，对网站首页、一级页面中局部内容重新设计调整（比如首页页面中信息公开、网上办事和互动交流展示模块的展示设计调整）</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2次</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广告制作（通知、声明等）</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网站横幅</w:t>
            </w:r>
            <w:r>
              <w:rPr>
                <w:rFonts w:ascii="宋体" w:hAnsi="宋体" w:cs="宋体" w:eastAsia="宋体"/>
                <w:sz w:val="20"/>
              </w:rPr>
              <w:t>/背景图/飘窗/对联效果/头部flash /按钮/图标制作</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15个</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网站前端功能界面调整</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如：信箱提交类的功能调整、查询类功能的字段调整、问卷调查的功能调整、在线访谈的功能调整、网站检索的功能调整</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20次</w:t>
            </w:r>
          </w:p>
        </w:tc>
      </w:tr>
      <w:tr>
        <w:tc>
          <w:tcPr>
            <w:tcW w:type="dxa" w:w="601"/>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（项号</w:t>
            </w:r>
            <w:r>
              <w:rPr>
                <w:rFonts w:ascii="宋体" w:hAnsi="宋体" w:cs="宋体" w:eastAsia="宋体"/>
                <w:sz w:val="20"/>
              </w:rPr>
              <w:t>14）</w:t>
            </w:r>
            <w:r>
              <w:rPr>
                <w:rFonts w:ascii="宋体" w:hAnsi="宋体" w:cs="宋体" w:eastAsia="宋体"/>
                <w:sz w:val="20"/>
              </w:rPr>
              <w:t>2</w:t>
            </w:r>
          </w:p>
        </w:tc>
        <w:tc>
          <w:tcPr>
            <w:tcW w:type="dxa" w:w="7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内容</w:t>
            </w:r>
          </w:p>
          <w:p>
            <w:pPr>
              <w:pStyle w:val="null3"/>
              <w:jc w:val="both"/>
            </w:pPr>
            <w:r>
              <w:rPr>
                <w:rFonts w:ascii="宋体" w:hAnsi="宋体" w:cs="宋体" w:eastAsia="宋体"/>
                <w:sz w:val="20"/>
              </w:rPr>
              <w:t>维护</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栏目、文档的批量调整、处理</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sz w:val="20"/>
              </w:rPr>
              <w:t>网站前端栏目、文档顺序的批量调整；含指定敏感信息文档批量处理；</w:t>
            </w:r>
            <w:r>
              <w:rPr>
                <w:rFonts w:ascii="宋体" w:hAnsi="宋体" w:cs="宋体" w:eastAsia="宋体"/>
                <w:sz w:val="20"/>
              </w:rPr>
              <w:t>WORD文档的批量导入；页面显示问题的批量处理</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5次</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协助进行特殊文档的录入和发布</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协助对格式复杂的文档编辑发布和特大附件上传</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5篇</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0"/>
              </w:rPr>
              <w:t>音视频处理</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0"/>
              </w:rPr>
              <w:t>音视频文件的转码和上传</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5个</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0"/>
              </w:rPr>
              <w:t>图片处理</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0"/>
              </w:rPr>
              <w:t>根据提供的图片进行美化处理</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30张</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信息（内容）抓取</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sz w:val="20"/>
              </w:rPr>
              <w:t>抓取指定的目标网站栏目信息，并导入到网站后台指定栏目</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10个</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网站错链、死链修改调整</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对网站的错链、死链接配合修改调整（不包含外部链接、信息录入的链接、历史数据中包含的错误链接等）</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不限</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小型调查、征集活动、在线访谈制作及在线技术支持</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sz w:val="20"/>
              </w:rPr>
              <w:t>普通调查、征集活动、在线访谈制作及技术支持</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3期</w:t>
            </w:r>
          </w:p>
        </w:tc>
      </w:tr>
      <w:tr>
        <w:tc>
          <w:tcPr>
            <w:tcW w:type="dxa" w:w="601"/>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（项号</w:t>
            </w:r>
            <w:r>
              <w:rPr>
                <w:rFonts w:ascii="宋体" w:hAnsi="宋体" w:cs="宋体" w:eastAsia="宋体"/>
                <w:sz w:val="20"/>
              </w:rPr>
              <w:t>15）</w:t>
            </w:r>
            <w:r>
              <w:rPr>
                <w:rFonts w:ascii="宋体" w:hAnsi="宋体" w:cs="宋体" w:eastAsia="宋体"/>
                <w:sz w:val="20"/>
              </w:rPr>
              <w:t>3</w:t>
            </w:r>
          </w:p>
        </w:tc>
        <w:tc>
          <w:tcPr>
            <w:tcW w:type="dxa" w:w="7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特殊</w:t>
            </w:r>
          </w:p>
          <w:p>
            <w:pPr>
              <w:pStyle w:val="null3"/>
              <w:jc w:val="both"/>
            </w:pPr>
            <w:r>
              <w:rPr>
                <w:rFonts w:ascii="宋体" w:hAnsi="宋体" w:cs="宋体" w:eastAsia="宋体"/>
                <w:sz w:val="20"/>
              </w:rPr>
              <w:t>定制</w:t>
            </w:r>
          </w:p>
          <w:p>
            <w:pPr>
              <w:pStyle w:val="null3"/>
              <w:jc w:val="both"/>
            </w:pPr>
            <w:r>
              <w:rPr>
                <w:rFonts w:ascii="宋体" w:hAnsi="宋体" w:cs="宋体" w:eastAsia="宋体"/>
                <w:sz w:val="20"/>
              </w:rPr>
              <w:t>开发</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信件模版定制</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信件打印模版的定制、信件导出模版的定制</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u w:val="single"/>
              </w:rPr>
              <w:t>1次</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网站信息录入功能个性化定制</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根据需求，对后台编辑器的录入功能进行扩展字段的定制</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u w:val="single"/>
              </w:rPr>
              <w:t>1次</w:t>
            </w:r>
          </w:p>
        </w:tc>
      </w:tr>
      <w:tr>
        <w:tc>
          <w:tcPr>
            <w:tcW w:type="dxa" w:w="601"/>
            <w:vMerge/>
            <w:tcBorders>
              <w:top w:val="single" w:color="000000" w:sz="4"/>
              <w:left w:val="double" w:color="000000" w:sz="4"/>
              <w:bottom w:val="single" w:color="000000" w:sz="4"/>
              <w:right w:val="single" w:color="000000" w:sz="4"/>
            </w:tcBorders>
          </w:tcPr>
          <w:p/>
        </w:tc>
        <w:tc>
          <w:tcPr>
            <w:tcW w:type="dxa" w:w="744"/>
            <w:vMerge/>
            <w:tcBorders>
              <w:top w:val="single" w:color="000000" w:sz="4"/>
              <w:left w:val="single" w:color="000000" w:sz="4"/>
              <w:bottom w:val="single" w:color="000000" w:sz="4"/>
              <w:right w:val="single" w:color="000000" w:sz="4"/>
            </w:tcBorders>
          </w:tcP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短信接口的定制</w:t>
            </w: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短信接口对接，并配置短信提醒功能</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1次</w:t>
            </w:r>
          </w:p>
        </w:tc>
      </w:tr>
      <w:tr>
        <w:tc>
          <w:tcPr>
            <w:tcW w:type="dxa" w:w="60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4</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w:t>
            </w:r>
          </w:p>
          <w:p>
            <w:pPr>
              <w:pStyle w:val="null3"/>
              <w:jc w:val="both"/>
            </w:pPr>
            <w:r>
              <w:rPr>
                <w:rFonts w:ascii="宋体" w:hAnsi="宋体" w:cs="宋体" w:eastAsia="宋体"/>
                <w:sz w:val="20"/>
              </w:rPr>
              <w:t>专题</w:t>
            </w:r>
          </w:p>
          <w:p>
            <w:pPr>
              <w:pStyle w:val="null3"/>
              <w:jc w:val="both"/>
            </w:pPr>
            <w:r>
              <w:rPr>
                <w:rFonts w:ascii="宋体" w:hAnsi="宋体" w:cs="宋体" w:eastAsia="宋体"/>
                <w:sz w:val="20"/>
              </w:rPr>
              <w:t>制作</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sz w:val="20"/>
              </w:rPr>
              <w:t>网站政务热点专题的制作（专题子栏目</w:t>
            </w:r>
            <w:r>
              <w:rPr>
                <w:rFonts w:ascii="宋体" w:hAnsi="宋体" w:cs="宋体" w:eastAsia="宋体"/>
                <w:sz w:val="20"/>
              </w:rPr>
              <w:t>10个以内，不涉及业务系统程序开发）</w:t>
            </w:r>
          </w:p>
        </w:tc>
        <w:tc>
          <w:tcPr>
            <w:tcW w:type="dxa" w:w="105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2个</w:t>
            </w:r>
          </w:p>
        </w:tc>
      </w:tr>
      <w:tr>
        <w:tc>
          <w:tcPr>
            <w:tcW w:type="dxa" w:w="601"/>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（项号</w:t>
            </w:r>
            <w:r>
              <w:rPr>
                <w:rFonts w:ascii="宋体" w:hAnsi="宋体" w:cs="宋体" w:eastAsia="宋体"/>
                <w:sz w:val="20"/>
              </w:rPr>
              <w:t>16）</w:t>
            </w:r>
            <w:r>
              <w:rPr>
                <w:rFonts w:ascii="宋体" w:hAnsi="宋体" w:cs="宋体" w:eastAsia="宋体"/>
                <w:sz w:val="20"/>
              </w:rPr>
              <w:t>5</w:t>
            </w:r>
          </w:p>
        </w:tc>
        <w:tc>
          <w:tcPr>
            <w:tcW w:type="dxa" w:w="74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技术</w:t>
            </w:r>
          </w:p>
          <w:p>
            <w:pPr>
              <w:pStyle w:val="null3"/>
              <w:jc w:val="both"/>
            </w:pPr>
            <w:r>
              <w:rPr>
                <w:rFonts w:ascii="宋体" w:hAnsi="宋体" w:cs="宋体" w:eastAsia="宋体"/>
                <w:sz w:val="20"/>
              </w:rPr>
              <w:t>支持</w:t>
            </w:r>
          </w:p>
        </w:tc>
        <w:tc>
          <w:tcPr>
            <w:tcW w:type="dxa" w:w="190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p>
        </w:tc>
        <w:tc>
          <w:tcPr>
            <w:tcW w:type="dxa" w:w="396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现场技术支持</w:t>
            </w:r>
          </w:p>
        </w:tc>
        <w:tc>
          <w:tcPr>
            <w:tcW w:type="dxa" w:w="105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0"/>
              </w:rPr>
              <w:t>3次</w:t>
            </w:r>
          </w:p>
        </w:tc>
      </w:tr>
    </w:tbl>
    <w:p>
      <w:pPr>
        <w:pStyle w:val="null3"/>
        <w:spacing w:before="75" w:after="75"/>
        <w:jc w:val="left"/>
      </w:pPr>
      <w:r>
        <w:rPr>
          <w:rFonts w:ascii="宋体" w:hAnsi="宋体" w:cs="宋体" w:eastAsia="宋体"/>
          <w:sz w:val="24"/>
        </w:rPr>
        <w:t>★</w:t>
      </w:r>
      <w:r>
        <w:rPr>
          <w:rFonts w:ascii="宋体" w:hAnsi="宋体" w:cs="宋体" w:eastAsia="宋体"/>
          <w:b/>
          <w:sz w:val="20"/>
        </w:rPr>
        <w:t>（三）、其他要求</w:t>
      </w:r>
    </w:p>
    <w:p>
      <w:pPr>
        <w:pStyle w:val="null3"/>
        <w:ind w:firstLine="480"/>
        <w:jc w:val="both"/>
      </w:pPr>
      <w:r>
        <w:rPr>
          <w:rFonts w:ascii="宋体" w:hAnsi="宋体" w:cs="宋体" w:eastAsia="宋体"/>
          <w:shd w:fill="FFFFFF" w:val="clear"/>
        </w:rPr>
        <w:t>1</w:t>
      </w:r>
      <w:r>
        <w:rPr>
          <w:rFonts w:ascii="宋体" w:hAnsi="宋体" w:cs="宋体" w:eastAsia="宋体"/>
          <w:shd w:fill="FFFFFF" w:val="clear"/>
        </w:rPr>
        <w:t>.</w:t>
      </w:r>
      <w:r>
        <w:rPr>
          <w:rFonts w:ascii="宋体" w:hAnsi="宋体" w:cs="宋体" w:eastAsia="宋体"/>
          <w:shd w:fill="FFFFFF" w:val="clear"/>
        </w:rPr>
        <w:t>服务期限</w:t>
      </w:r>
    </w:p>
    <w:p>
      <w:pPr>
        <w:pStyle w:val="null3"/>
        <w:ind w:firstLine="480"/>
        <w:jc w:val="both"/>
      </w:pPr>
      <w:r>
        <w:rPr>
          <w:rFonts w:ascii="宋体" w:hAnsi="宋体" w:cs="宋体" w:eastAsia="宋体"/>
          <w:shd w:fill="FFFFFF" w:val="clear"/>
        </w:rPr>
        <w:t>合同签订后</w:t>
      </w:r>
      <w:r>
        <w:rPr>
          <w:rFonts w:ascii="宋体" w:hAnsi="宋体" w:cs="宋体" w:eastAsia="宋体"/>
          <w:shd w:fill="FFFFFF" w:val="clear"/>
        </w:rPr>
        <w:t>3个月内完成 “网站页面调整服务”“网站适老版</w:t>
      </w:r>
      <w:r>
        <w:rPr>
          <w:rFonts w:ascii="宋体" w:hAnsi="宋体" w:cs="宋体" w:eastAsia="宋体"/>
          <w:shd w:fill="FFFFFF" w:val="clear"/>
        </w:rPr>
        <w:t>改造服务</w:t>
      </w:r>
      <w:r>
        <w:rPr>
          <w:rFonts w:ascii="宋体" w:hAnsi="宋体" w:cs="宋体" w:eastAsia="宋体"/>
          <w:shd w:fill="FFFFFF" w:val="clear"/>
        </w:rPr>
        <w:t>”、“网站智能搜索</w:t>
      </w:r>
      <w:r>
        <w:rPr>
          <w:rFonts w:ascii="宋体" w:hAnsi="宋体" w:cs="宋体" w:eastAsia="宋体"/>
          <w:shd w:fill="FFFFFF" w:val="clear"/>
        </w:rPr>
        <w:t>云</w:t>
      </w:r>
      <w:r>
        <w:rPr>
          <w:rFonts w:ascii="宋体" w:hAnsi="宋体" w:cs="宋体" w:eastAsia="宋体"/>
          <w:shd w:fill="FFFFFF" w:val="clear"/>
        </w:rPr>
        <w:t>服务</w:t>
      </w:r>
      <w:r>
        <w:rPr>
          <w:rFonts w:ascii="宋体" w:hAnsi="宋体" w:cs="宋体" w:eastAsia="宋体"/>
          <w:shd w:fill="FFFFFF" w:val="clear"/>
        </w:rPr>
        <w:t>”、“网站智能搜索场景服务”建设，一年内完成网站运行维护服务。</w:t>
      </w:r>
    </w:p>
    <w:p>
      <w:pPr>
        <w:pStyle w:val="null3"/>
        <w:ind w:firstLine="480"/>
        <w:jc w:val="both"/>
      </w:pPr>
      <w:r>
        <w:rPr>
          <w:rFonts w:ascii="宋体" w:hAnsi="宋体" w:cs="宋体" w:eastAsia="宋体"/>
          <w:shd w:fill="FFFFFF" w:val="clear"/>
        </w:rPr>
        <w:t>本项目服务期均为三年，合同一年一签。采购人在每年合同结束前对中标</w:t>
      </w:r>
      <w:r>
        <w:rPr>
          <w:rFonts w:ascii="宋体" w:hAnsi="宋体" w:cs="宋体" w:eastAsia="宋体"/>
          <w:shd w:fill="FFFFFF" w:val="clear"/>
        </w:rPr>
        <w:t>人</w:t>
      </w:r>
      <w:r>
        <w:rPr>
          <w:rFonts w:ascii="宋体" w:hAnsi="宋体" w:cs="宋体" w:eastAsia="宋体"/>
          <w:shd w:fill="FFFFFF" w:val="clear"/>
        </w:rPr>
        <w:t>的服务进行验收，并有权根据验收结果或相关政策规定，决定是否续签下一年度服务合同。若采购人未能与中标人续签下一年服务合同的，采购人有权视情况要求中标人在合同期限届满，至采购人聘用到新的服务单位前继续履行本合同，中标人不得以任何理由拒绝。</w:t>
      </w:r>
    </w:p>
    <w:p>
      <w:pPr>
        <w:pStyle w:val="null3"/>
        <w:ind w:firstLine="480"/>
        <w:jc w:val="both"/>
      </w:pPr>
      <w:r>
        <w:rPr>
          <w:rFonts w:ascii="宋体" w:hAnsi="宋体" w:cs="宋体" w:eastAsia="宋体"/>
          <w:sz w:val="20"/>
        </w:rPr>
        <w:t>2.本项目服务内容应按照最新</w:t>
      </w:r>
      <w:r>
        <w:rPr>
          <w:rFonts w:ascii="宋体" w:hAnsi="宋体" w:cs="宋体" w:eastAsia="宋体"/>
          <w:sz w:val="20"/>
        </w:rPr>
        <w:t>政府网站与政务新媒体绩效考核</w:t>
      </w:r>
      <w:r>
        <w:rPr>
          <w:rFonts w:ascii="宋体" w:hAnsi="宋体" w:cs="宋体" w:eastAsia="宋体"/>
          <w:sz w:val="20"/>
        </w:rPr>
        <w:t>标准进行升级改造。</w:t>
      </w:r>
    </w:p>
    <w:p>
      <w:pPr>
        <w:pStyle w:val="null3"/>
        <w:ind w:firstLine="480"/>
        <w:jc w:val="both"/>
      </w:pPr>
      <w:r>
        <w:rPr>
          <w:rFonts w:ascii="宋体" w:hAnsi="宋体" w:cs="宋体" w:eastAsia="宋体"/>
          <w:sz w:val="20"/>
        </w:rPr>
        <w:t>3.各版面及业务功能调整必须进行安全评估，并达到相关要求后上线运行。</w:t>
      </w: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福建省福州市鼓东路44号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1、期次1，说明：项目按招标文件要求及合同中的相关条款进行验收。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1、合同签订后，中标人提供等额发票，达到付款条件起30日内，支付合同总金额的50.00%</w:t>
            </w:r>
          </w:p>
          <w:p>
            <w:pPr>
              <w:pStyle w:val="null3"/>
              <w:jc w:val="left"/>
            </w:pPr>
            <w:r>
              <w:rPr/>
              <w:t>2、项目验收合格且服务期满后，中标人提供等额发票，达到付款条件起30日内，支付合同总金额的50.00%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p>
    <w:p>
      <w:pPr>
        <w:pStyle w:val="null3"/>
      </w:pPr>
    </w:p>
    <w:p>
      <w:pPr>
        <w:pStyle w:val="null3"/>
        <w:ind w:firstLine="402"/>
        <w:jc w:val="both"/>
      </w:pPr>
      <w:r>
        <w:rPr>
          <w:rFonts w:ascii="宋体" w:hAnsi="宋体" w:cs="宋体" w:eastAsia="宋体"/>
          <w:b/>
          <w:sz w:val="20"/>
        </w:rPr>
        <w:t>★</w:t>
      </w:r>
      <w:r>
        <w:rPr>
          <w:rFonts w:ascii="宋体" w:hAnsi="宋体" w:cs="宋体" w:eastAsia="宋体"/>
          <w:sz w:val="20"/>
        </w:rPr>
        <w:t>具体要求如下</w:t>
      </w:r>
    </w:p>
    <w:p>
      <w:pPr>
        <w:pStyle w:val="null3"/>
        <w:ind w:firstLine="480"/>
      </w:pPr>
      <w:r>
        <w:rPr>
          <w:rFonts w:ascii="宋体" w:hAnsi="宋体" w:cs="宋体" w:eastAsia="宋体"/>
          <w:shd w:fill="FFFFFF" w:val="clear"/>
        </w:rPr>
        <w:t>1</w:t>
      </w:r>
      <w:r>
        <w:rPr>
          <w:rFonts w:ascii="宋体" w:hAnsi="宋体" w:cs="宋体" w:eastAsia="宋体"/>
          <w:shd w:fill="FFFFFF" w:val="clear"/>
        </w:rPr>
        <w:t>、违约责任</w:t>
      </w:r>
    </w:p>
    <w:p>
      <w:pPr>
        <w:pStyle w:val="null3"/>
        <w:ind w:firstLine="480"/>
      </w:pPr>
      <w:r>
        <w:rPr>
          <w:rFonts w:ascii="宋体" w:hAnsi="宋体" w:cs="宋体" w:eastAsia="宋体"/>
          <w:shd w:fill="FFFFFF" w:val="clear"/>
        </w:rPr>
        <w:t>1</w:t>
      </w:r>
      <w:r>
        <w:rPr>
          <w:rFonts w:ascii="宋体" w:hAnsi="宋体" w:cs="宋体" w:eastAsia="宋体"/>
          <w:shd w:fill="FFFFFF" w:val="clear"/>
        </w:rPr>
        <w:t>.1因</w:t>
      </w:r>
      <w:r>
        <w:rPr>
          <w:rFonts w:ascii="宋体" w:hAnsi="宋体" w:cs="宋体" w:eastAsia="宋体"/>
          <w:shd w:fill="FFFFFF" w:val="clear"/>
        </w:rPr>
        <w:t>中标人</w:t>
      </w:r>
      <w:r>
        <w:rPr>
          <w:rFonts w:ascii="宋体" w:hAnsi="宋体" w:cs="宋体" w:eastAsia="宋体"/>
          <w:shd w:fill="FFFFFF" w:val="clear"/>
        </w:rPr>
        <w:t>原因造成采购合同无法按时签订，视为</w:t>
      </w:r>
      <w:r>
        <w:rPr>
          <w:rFonts w:ascii="宋体" w:hAnsi="宋体" w:cs="宋体" w:eastAsia="宋体"/>
          <w:shd w:fill="FFFFFF" w:val="clear"/>
        </w:rPr>
        <w:t>中标人</w:t>
      </w:r>
      <w:r>
        <w:rPr>
          <w:rFonts w:ascii="宋体" w:hAnsi="宋体" w:cs="宋体" w:eastAsia="宋体"/>
          <w:shd w:fill="FFFFFF" w:val="clear"/>
        </w:rPr>
        <w:t>违约，</w:t>
      </w:r>
      <w:r>
        <w:rPr>
          <w:rFonts w:ascii="宋体" w:hAnsi="宋体" w:cs="宋体" w:eastAsia="宋体"/>
          <w:shd w:fill="FFFFFF" w:val="clear"/>
        </w:rPr>
        <w:t>中标人</w:t>
      </w:r>
      <w:r>
        <w:rPr>
          <w:rFonts w:ascii="宋体" w:hAnsi="宋体" w:cs="宋体" w:eastAsia="宋体"/>
          <w:shd w:fill="FFFFFF" w:val="clear"/>
        </w:rPr>
        <w:t>违约对采购人造成损失的，需另行支付相应的赔偿。</w:t>
      </w:r>
    </w:p>
    <w:p>
      <w:pPr>
        <w:pStyle w:val="null3"/>
        <w:ind w:firstLine="480"/>
      </w:pPr>
      <w:r>
        <w:rPr>
          <w:rFonts w:ascii="宋体" w:hAnsi="宋体" w:cs="宋体" w:eastAsia="宋体"/>
          <w:shd w:fill="FFFFFF" w:val="clear"/>
        </w:rPr>
        <w:t>1</w:t>
      </w:r>
      <w:r>
        <w:rPr>
          <w:rFonts w:ascii="宋体" w:hAnsi="宋体" w:cs="宋体" w:eastAsia="宋体"/>
          <w:shd w:fill="FFFFFF" w:val="clear"/>
        </w:rPr>
        <w:t>.2在签订采购合同之后，</w:t>
      </w:r>
      <w:r>
        <w:rPr>
          <w:rFonts w:ascii="宋体" w:hAnsi="宋体" w:cs="宋体" w:eastAsia="宋体"/>
          <w:shd w:fill="FFFFFF" w:val="clear"/>
        </w:rPr>
        <w:t>中标人</w:t>
      </w:r>
      <w:r>
        <w:rPr>
          <w:rFonts w:ascii="宋体" w:hAnsi="宋体" w:cs="宋体" w:eastAsia="宋体"/>
          <w:shd w:fill="FFFFFF" w:val="clear"/>
        </w:rPr>
        <w:t>要求解除合同的，视为</w:t>
      </w:r>
      <w:r>
        <w:rPr>
          <w:rFonts w:ascii="宋体" w:hAnsi="宋体" w:cs="宋体" w:eastAsia="宋体"/>
          <w:shd w:fill="FFFFFF" w:val="clear"/>
        </w:rPr>
        <w:t>中标人</w:t>
      </w:r>
      <w:r>
        <w:rPr>
          <w:rFonts w:ascii="宋体" w:hAnsi="宋体" w:cs="宋体" w:eastAsia="宋体"/>
          <w:shd w:fill="FFFFFF" w:val="clear"/>
        </w:rPr>
        <w:t>违约，对采购人造成损失的，</w:t>
      </w:r>
      <w:r>
        <w:rPr>
          <w:rFonts w:ascii="宋体" w:hAnsi="宋体" w:cs="宋体" w:eastAsia="宋体"/>
          <w:shd w:fill="FFFFFF" w:val="clear"/>
        </w:rPr>
        <w:t>中标人</w:t>
      </w:r>
      <w:r>
        <w:rPr>
          <w:rFonts w:ascii="宋体" w:hAnsi="宋体" w:cs="宋体" w:eastAsia="宋体"/>
          <w:shd w:fill="FFFFFF" w:val="clear"/>
        </w:rPr>
        <w:t>需支付相应的赔偿。</w:t>
      </w:r>
    </w:p>
    <w:p>
      <w:pPr>
        <w:pStyle w:val="null3"/>
        <w:ind w:firstLine="480"/>
      </w:pPr>
      <w:r>
        <w:rPr>
          <w:rFonts w:ascii="宋体" w:hAnsi="宋体" w:cs="宋体" w:eastAsia="宋体"/>
          <w:shd w:fill="FFFFFF" w:val="clear"/>
        </w:rPr>
        <w:t>1</w:t>
      </w:r>
      <w:r>
        <w:rPr>
          <w:rFonts w:ascii="宋体" w:hAnsi="宋体" w:cs="宋体" w:eastAsia="宋体"/>
          <w:shd w:fill="FFFFFF" w:val="clear"/>
        </w:rPr>
        <w:t>.3因</w:t>
      </w:r>
      <w:r>
        <w:rPr>
          <w:rFonts w:ascii="宋体" w:hAnsi="宋体" w:cs="宋体" w:eastAsia="宋体"/>
          <w:shd w:fill="FFFFFF" w:val="clear"/>
        </w:rPr>
        <w:t>中标人</w:t>
      </w:r>
      <w:r>
        <w:rPr>
          <w:rFonts w:ascii="宋体" w:hAnsi="宋体" w:cs="宋体" w:eastAsia="宋体"/>
          <w:shd w:fill="FFFFFF" w:val="clear"/>
        </w:rPr>
        <w:t>原因发生重大质量事故，除依约承担赔偿责任外，还将按有关质量管理办法规定执行。同时，采购人有权更换</w:t>
      </w:r>
      <w:r>
        <w:rPr>
          <w:rFonts w:ascii="宋体" w:hAnsi="宋体" w:cs="宋体" w:eastAsia="宋体"/>
          <w:shd w:fill="FFFFFF" w:val="clear"/>
        </w:rPr>
        <w:t>中标人</w:t>
      </w:r>
      <w:r>
        <w:rPr>
          <w:rFonts w:ascii="宋体" w:hAnsi="宋体" w:cs="宋体" w:eastAsia="宋体"/>
          <w:shd w:fill="FFFFFF" w:val="clear"/>
        </w:rPr>
        <w:t>，并报相关行政主管部门处罚。</w:t>
      </w:r>
    </w:p>
    <w:p>
      <w:pPr>
        <w:pStyle w:val="null3"/>
        <w:ind w:firstLine="480"/>
      </w:pPr>
      <w:r>
        <w:rPr>
          <w:rFonts w:ascii="宋体" w:hAnsi="宋体" w:cs="宋体" w:eastAsia="宋体"/>
          <w:shd w:fill="FFFFFF" w:val="clear"/>
        </w:rPr>
        <w:t>1</w:t>
      </w:r>
      <w:r>
        <w:rPr>
          <w:rFonts w:ascii="宋体" w:hAnsi="宋体" w:cs="宋体" w:eastAsia="宋体"/>
          <w:shd w:fill="FFFFFF" w:val="clear"/>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pPr>
      <w:r>
        <w:rPr>
          <w:rFonts w:ascii="宋体" w:hAnsi="宋体" w:cs="宋体" w:eastAsia="宋体"/>
          <w:shd w:fill="FFFFFF" w:val="clear"/>
        </w:rPr>
        <w:t>1</w:t>
      </w:r>
      <w:r>
        <w:rPr>
          <w:rFonts w:ascii="宋体" w:hAnsi="宋体" w:cs="宋体" w:eastAsia="宋体"/>
          <w:shd w:fill="FFFFFF" w:val="clear"/>
        </w:rPr>
        <w:t>.5在明确违约责任后，</w:t>
      </w:r>
      <w:r>
        <w:rPr>
          <w:rFonts w:ascii="宋体" w:hAnsi="宋体" w:cs="宋体" w:eastAsia="宋体"/>
          <w:shd w:fill="FFFFFF" w:val="clear"/>
        </w:rPr>
        <w:t>中标人</w:t>
      </w:r>
      <w:r>
        <w:rPr>
          <w:rFonts w:ascii="宋体" w:hAnsi="宋体" w:cs="宋体" w:eastAsia="宋体"/>
          <w:shd w:fill="FFFFFF" w:val="clear"/>
        </w:rPr>
        <w:t>应在接到书面通知书起七天内支付违约金、赔偿金等。</w:t>
      </w:r>
    </w:p>
    <w:p>
      <w:pPr>
        <w:pStyle w:val="null3"/>
        <w:ind w:firstLine="480"/>
      </w:pPr>
      <w:r>
        <w:rPr>
          <w:rFonts w:ascii="宋体" w:hAnsi="宋体" w:cs="宋体" w:eastAsia="宋体"/>
          <w:shd w:fill="FFFFFF" w:val="clear"/>
        </w:rPr>
        <w:t>1</w:t>
      </w:r>
      <w:r>
        <w:rPr>
          <w:rFonts w:ascii="宋体" w:hAnsi="宋体" w:cs="宋体" w:eastAsia="宋体"/>
          <w:shd w:fill="FFFFFF" w:val="clear"/>
        </w:rPr>
        <w:t>.6任何一方因违约行为给对方造成损失的，应承担赔偿责任，任何一方所采取必要的补救措施而发生的相关费用（包括但不限于诉讼费、公告费、财产保全费、财产保全担保费、执行费、评估费、拍卖费、律师费、差旅费等）均由违约方承担。</w:t>
      </w:r>
    </w:p>
    <w:p>
      <w:pPr>
        <w:pStyle w:val="null3"/>
        <w:ind w:firstLine="480"/>
      </w:pPr>
      <w:r>
        <w:rPr>
          <w:rFonts w:ascii="宋体" w:hAnsi="宋体" w:cs="宋体" w:eastAsia="宋体"/>
          <w:shd w:fill="FFFFFF" w:val="clear"/>
        </w:rPr>
        <w:t>1</w:t>
      </w:r>
      <w:r>
        <w:rPr>
          <w:rFonts w:ascii="宋体" w:hAnsi="宋体" w:cs="宋体" w:eastAsia="宋体"/>
          <w:shd w:fill="FFFFFF" w:val="clear"/>
        </w:rPr>
        <w:t>.7若因</w:t>
      </w:r>
      <w:r>
        <w:rPr>
          <w:rFonts w:ascii="宋体" w:hAnsi="宋体" w:cs="宋体" w:eastAsia="宋体"/>
          <w:shd w:fill="FFFFFF" w:val="clear"/>
        </w:rPr>
        <w:t>中标人</w:t>
      </w:r>
      <w:r>
        <w:rPr>
          <w:rFonts w:ascii="宋体" w:hAnsi="宋体" w:cs="宋体" w:eastAsia="宋体"/>
          <w:shd w:fill="FFFFFF" w:val="clear"/>
        </w:rPr>
        <w:t>原因导致采购人与第三方发生法律纠纷的，包括但不限于知识产权纠纷、人身权纠纷等，则由此产生的法律责任及赔偿责任均由</w:t>
      </w:r>
      <w:r>
        <w:rPr>
          <w:rFonts w:ascii="宋体" w:hAnsi="宋体" w:cs="宋体" w:eastAsia="宋体"/>
          <w:shd w:fill="FFFFFF" w:val="clear"/>
        </w:rPr>
        <w:t>中标人</w:t>
      </w:r>
      <w:r>
        <w:rPr>
          <w:rFonts w:ascii="宋体" w:hAnsi="宋体" w:cs="宋体" w:eastAsia="宋体"/>
          <w:shd w:fill="FFFFFF" w:val="clear"/>
        </w:rPr>
        <w:t>承担，与采购人无关；采购人先行偿付或承担连带赔偿责任的，有权向</w:t>
      </w:r>
      <w:r>
        <w:rPr>
          <w:rFonts w:ascii="宋体" w:hAnsi="宋体" w:cs="宋体" w:eastAsia="宋体"/>
          <w:shd w:fill="FFFFFF" w:val="clear"/>
        </w:rPr>
        <w:t>中标人</w:t>
      </w:r>
      <w:r>
        <w:rPr>
          <w:rFonts w:ascii="宋体" w:hAnsi="宋体" w:cs="宋体" w:eastAsia="宋体"/>
          <w:shd w:fill="FFFFFF" w:val="clear"/>
        </w:rPr>
        <w:t>追偿，</w:t>
      </w:r>
      <w:r>
        <w:rPr>
          <w:rFonts w:ascii="宋体" w:hAnsi="宋体" w:cs="宋体" w:eastAsia="宋体"/>
          <w:shd w:fill="FFFFFF" w:val="clear"/>
        </w:rPr>
        <w:t>中标人</w:t>
      </w:r>
      <w:r>
        <w:rPr>
          <w:rFonts w:ascii="宋体" w:hAnsi="宋体" w:cs="宋体" w:eastAsia="宋体"/>
          <w:shd w:fill="FFFFFF" w:val="clear"/>
        </w:rPr>
        <w:t>对此不持异议。</w:t>
      </w:r>
    </w:p>
    <w:p>
      <w:pPr>
        <w:pStyle w:val="null3"/>
        <w:ind w:firstLine="480"/>
      </w:pPr>
      <w:r>
        <w:rPr>
          <w:rFonts w:ascii="宋体" w:hAnsi="宋体" w:cs="宋体" w:eastAsia="宋体"/>
          <w:shd w:fill="FFFFFF" w:val="clear"/>
        </w:rPr>
        <w:t>1</w:t>
      </w:r>
      <w:r>
        <w:rPr>
          <w:rFonts w:ascii="宋体" w:hAnsi="宋体" w:cs="宋体" w:eastAsia="宋体"/>
          <w:shd w:fill="FFFFFF" w:val="clear"/>
        </w:rPr>
        <w:t>.8若</w:t>
      </w:r>
      <w:r>
        <w:rPr>
          <w:rFonts w:ascii="宋体" w:hAnsi="宋体" w:cs="宋体" w:eastAsia="宋体"/>
          <w:shd w:fill="FFFFFF" w:val="clear"/>
        </w:rPr>
        <w:t>中标人</w:t>
      </w:r>
      <w:r>
        <w:rPr>
          <w:rFonts w:ascii="宋体" w:hAnsi="宋体" w:cs="宋体" w:eastAsia="宋体"/>
          <w:shd w:fill="FFFFFF" w:val="clear"/>
        </w:rPr>
        <w:t>未按采购文件要求或采购合同约定的内容、形式或期限履行任何一项义务、完成任何一项工作的，采购人除有权要求</w:t>
      </w:r>
      <w:r>
        <w:rPr>
          <w:rFonts w:ascii="宋体" w:hAnsi="宋体" w:cs="宋体" w:eastAsia="宋体"/>
          <w:shd w:fill="FFFFFF" w:val="clear"/>
        </w:rPr>
        <w:t>中标人</w:t>
      </w:r>
      <w:r>
        <w:rPr>
          <w:rFonts w:ascii="宋体" w:hAnsi="宋体" w:cs="宋体" w:eastAsia="宋体"/>
          <w:shd w:fill="FFFFFF" w:val="clear"/>
        </w:rPr>
        <w:t>限期整改、承担违约责任外，亦有权选择直接委托第三方完成该项工作，所需费用直接从应支付给</w:t>
      </w:r>
      <w:r>
        <w:rPr>
          <w:rFonts w:ascii="宋体" w:hAnsi="宋体" w:cs="宋体" w:eastAsia="宋体"/>
          <w:shd w:fill="FFFFFF" w:val="clear"/>
        </w:rPr>
        <w:t>中标人</w:t>
      </w:r>
      <w:r>
        <w:rPr>
          <w:rFonts w:ascii="宋体" w:hAnsi="宋体" w:cs="宋体" w:eastAsia="宋体"/>
          <w:shd w:fill="FFFFFF" w:val="clear"/>
        </w:rPr>
        <w:t>的费用中扣减，</w:t>
      </w:r>
      <w:r>
        <w:rPr>
          <w:rFonts w:ascii="宋体" w:hAnsi="宋体" w:cs="宋体" w:eastAsia="宋体"/>
          <w:shd w:fill="FFFFFF" w:val="clear"/>
        </w:rPr>
        <w:t>中标人</w:t>
      </w:r>
      <w:r>
        <w:rPr>
          <w:rFonts w:ascii="宋体" w:hAnsi="宋体" w:cs="宋体" w:eastAsia="宋体"/>
          <w:shd w:fill="FFFFFF" w:val="clear"/>
        </w:rPr>
        <w:t>对此不持异议。</w:t>
      </w:r>
    </w:p>
    <w:p>
      <w:pPr>
        <w:pStyle w:val="null3"/>
        <w:ind w:firstLine="480"/>
      </w:pPr>
      <w:r>
        <w:rPr>
          <w:rFonts w:ascii="宋体" w:hAnsi="宋体" w:cs="宋体" w:eastAsia="宋体"/>
          <w:shd w:fill="FFFFFF" w:val="clear"/>
        </w:rPr>
        <w:t>2</w:t>
      </w:r>
      <w:r>
        <w:rPr>
          <w:rFonts w:ascii="宋体" w:hAnsi="宋体" w:cs="宋体" w:eastAsia="宋体"/>
          <w:shd w:fill="FFFFFF" w:val="clear"/>
        </w:rPr>
        <w:t>、知识产权</w:t>
      </w:r>
    </w:p>
    <w:p>
      <w:pPr>
        <w:pStyle w:val="null3"/>
        <w:ind w:firstLine="480"/>
      </w:pPr>
      <w:r>
        <w:rPr>
          <w:rFonts w:ascii="宋体" w:hAnsi="宋体" w:cs="宋体" w:eastAsia="宋体"/>
          <w:shd w:fill="FFFFFF" w:val="clear"/>
        </w:rPr>
        <w:t>中标人</w:t>
      </w:r>
      <w:r>
        <w:rPr>
          <w:rFonts w:ascii="宋体" w:hAnsi="宋体" w:cs="宋体" w:eastAsia="宋体"/>
          <w:shd w:fill="FFFFFF" w:val="clear"/>
        </w:rPr>
        <w:t>须保障采购人在使用该货物或其任何一部分时不受到第三方关于侵犯专利权、商标权或工业设计权等知识产权的指控。如果任何第三方提出侵权指控与采购人无关，</w:t>
      </w:r>
      <w:r>
        <w:rPr>
          <w:rFonts w:ascii="宋体" w:hAnsi="宋体" w:cs="宋体" w:eastAsia="宋体"/>
          <w:shd w:fill="FFFFFF" w:val="clear"/>
        </w:rPr>
        <w:t>中标人</w:t>
      </w:r>
      <w:r>
        <w:rPr>
          <w:rFonts w:ascii="宋体" w:hAnsi="宋体" w:cs="宋体" w:eastAsia="宋体"/>
          <w:shd w:fill="FFFFFF" w:val="clear"/>
        </w:rPr>
        <w:t>须与第三方交涉并承担可能发生的责任与一切费用。如采购人因此而遭致损失的，投标人应赔偿该损失。</w:t>
      </w:r>
    </w:p>
    <w:p>
      <w:pPr>
        <w:pStyle w:val="null3"/>
        <w:ind w:firstLine="480"/>
      </w:pPr>
      <w:r>
        <w:rPr>
          <w:rFonts w:ascii="宋体" w:hAnsi="宋体" w:cs="宋体" w:eastAsia="宋体"/>
          <w:shd w:fill="FFFFFF" w:val="clear"/>
        </w:rPr>
        <w:t>3</w:t>
      </w:r>
      <w:r>
        <w:rPr>
          <w:rFonts w:ascii="宋体" w:hAnsi="宋体" w:cs="宋体" w:eastAsia="宋体"/>
          <w:shd w:fill="FFFFFF" w:val="clear"/>
        </w:rPr>
        <w:t>、仲裁、诉讼条款</w:t>
      </w:r>
    </w:p>
    <w:p>
      <w:pPr>
        <w:pStyle w:val="null3"/>
        <w:jc w:val="both"/>
      </w:pPr>
      <w:r>
        <w:rPr>
          <w:rFonts w:ascii="宋体" w:hAnsi="宋体" w:cs="宋体" w:eastAsia="宋体"/>
          <w:sz w:val="24"/>
          <w:shd w:fill="FFFFFF" w:val="clear"/>
        </w:rPr>
        <w:t>因采购或与采购合同有关的一切事项发生争议，由采购人和</w:t>
      </w:r>
      <w:r>
        <w:rPr>
          <w:rFonts w:ascii="宋体" w:hAnsi="宋体" w:cs="宋体" w:eastAsia="宋体"/>
          <w:sz w:val="24"/>
          <w:shd w:fill="FFFFFF" w:val="clear"/>
        </w:rPr>
        <w:t>中标人</w:t>
      </w:r>
      <w:r>
        <w:rPr>
          <w:rFonts w:ascii="宋体" w:hAnsi="宋体" w:cs="宋体" w:eastAsia="宋体"/>
          <w:sz w:val="24"/>
          <w:shd w:fill="FFFFFF" w:val="clear"/>
        </w:rPr>
        <w:t>双方友好协商解决。协商不成的，向采购人所在地有管辖权的人民法院提起诉讼。</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pPr>
      <w:r>
        <w:rPr/>
        <w:t>致：</w:t>
      </w:r>
      <w:r>
        <w:rPr>
          <w:u w:val="single"/>
        </w:rPr>
        <w:t>（采购人或采购代理机构）</w:t>
      </w:r>
    </w:p>
    <w:p>
      <w:pPr>
        <w:pStyle w:val="null3"/>
        <w:ind w:firstLine="480"/>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r>
    </w:p>
    <w:p>
      <w:pPr>
        <w:pStyle w:val="null3"/>
        <w:ind w:firstLine="480"/>
      </w:pPr>
      <w:r>
        <w:rPr/>
        <w:t xml:space="preserve">邮编：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jc w:val="right"/>
      </w:pPr>
      <w:r>
        <w:rPr/>
        <w:t>签署日期： 年 月 日</w:t>
      </w:r>
    </w:p>
    <w:p>
      <w:pPr>
        <w:pStyle w:val="null3"/>
        <w:ind w:firstLine="480"/>
      </w:pPr>
      <w:r>
        <w:rPr/>
        <w:t>附：单位负责人、投标人代表的身份证正反面复印件</w:t>
      </w:r>
    </w:p>
    <w:p>
      <w:pPr>
        <w:pStyle w:val="null3"/>
        <w:ind w:firstLine="960"/>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ind w:firstLine="960"/>
      </w:pPr>
      <w:r>
        <w:rPr/>
        <w:t xml:space="preserve"> </w:t>
      </w:r>
    </w:p>
    <w:p>
      <w:pPr>
        <w:pStyle w:val="null3"/>
        <w:ind w:firstLine="960"/>
        <w:jc w:val="center"/>
        <w:outlineLvl w:val="3"/>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ind w:firstLine="960"/>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pPr>
      <w:r>
        <w:rPr/>
        <w:t xml:space="preserve"> </w:t>
      </w:r>
    </w:p>
    <w:p>
      <w:pPr>
        <w:pStyle w:val="null3"/>
        <w:ind w:firstLine="960"/>
        <w:jc w:val="center"/>
        <w:outlineLvl w:val="3"/>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 xml:space="preserve">（填写“工作及义务的具体内容”） </w:t>
      </w:r>
      <w:r>
        <w:rPr/>
        <w:t>；</w:t>
      </w:r>
    </w:p>
    <w:p>
      <w:pPr>
        <w:pStyle w:val="null3"/>
        <w:ind w:firstLine="480"/>
      </w:pPr>
      <w:r>
        <w:rPr/>
        <w:t>2、成员方：</w:t>
      </w:r>
    </w:p>
    <w:p>
      <w:pPr>
        <w:pStyle w:val="null3"/>
        <w:ind w:firstLine="480"/>
      </w:pPr>
      <w:r>
        <w:rPr/>
        <w:t>2.1（成员一的全称）：</w:t>
      </w:r>
      <w:r>
        <w:rPr>
          <w:u w:val="single"/>
        </w:rPr>
        <w:t>（填写“工作及义务的具体内容”）</w:t>
      </w:r>
      <w:r>
        <w:rPr/>
        <w:t xml:space="preserve"> ；</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 xml:space="preserve"> 全称</w:t>
      </w:r>
      <w:r>
        <w:rPr/>
        <w:t xml:space="preserve"> ）的合同金额占合同总额的</w:t>
      </w:r>
      <w:r>
        <w:rPr>
          <w:u w:val="single"/>
        </w:rPr>
        <w:t>　　</w:t>
      </w:r>
      <w:r>
        <w:rPr/>
        <w:t>%；</w:t>
      </w:r>
    </w:p>
    <w:p>
      <w:pPr>
        <w:pStyle w:val="null3"/>
        <w:ind w:firstLine="480"/>
      </w:pPr>
      <w:r>
        <w:rPr/>
        <w:t>2.成员方：</w:t>
      </w:r>
    </w:p>
    <w:p>
      <w:pPr>
        <w:pStyle w:val="null3"/>
        <w:ind w:firstLine="480"/>
      </w:pPr>
      <w:r>
        <w:rPr/>
        <w:t>2.1（</w:t>
      </w:r>
      <w:r>
        <w:rPr>
          <w:u w:val="single"/>
        </w:rPr>
        <w:t xml:space="preserve"> 成员1的全称 </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 xml:space="preserve"> （签字或盖章）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 xml:space="preserve"> （签字或盖章）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p>
            <w:pPr>
              <w:pStyle w:val="null3"/>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u w:val="single"/>
              </w:rPr>
              <w:t>　　　　　</w:t>
            </w:r>
            <w:r>
              <w:rPr/>
              <w:t>；</w:t>
            </w:r>
          </w:p>
          <w:p>
            <w:pPr>
              <w:pStyle w:val="null3"/>
            </w:pPr>
          </w:p>
          <w:p>
            <w:pPr>
              <w:pStyle w:val="null3"/>
            </w:pPr>
            <w:r>
              <w:rPr/>
              <w:t>b.采购包投标总价（报价总金额）：</w:t>
            </w:r>
            <w:r>
              <w:rPr>
                <w:u w:val="single"/>
              </w:rPr>
              <w:t>　　　　　</w:t>
            </w:r>
            <w:r>
              <w:rPr/>
              <w:t>；</w:t>
            </w:r>
          </w:p>
          <w:p>
            <w:pPr>
              <w:pStyle w:val="null3"/>
            </w:pPr>
          </w:p>
          <w:p>
            <w:pPr>
              <w:pStyle w:val="null3"/>
            </w:pPr>
            <w:r>
              <w:rPr/>
              <w:t>c.“采购包内属于节能、环境标志产品的报价总金额”占“采购包投标总价（报价总金额）”的比例（以%列示）：</w:t>
            </w:r>
            <w:r>
              <w:rPr>
                <w:u w:val="single"/>
              </w:rPr>
              <w:t>　　　　　</w:t>
            </w:r>
            <w:r>
              <w:rPr/>
              <w:t>；</w:t>
            </w:r>
          </w:p>
          <w:p>
            <w:pPr>
              <w:pStyle w:val="null3"/>
            </w:pP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outlineLvl w:val="3"/>
      </w:pPr>
      <w:r>
        <w:rPr>
          <w:b/>
          <w:sz w:val="24"/>
        </w:rPr>
        <w:t>残疾人福利性单位声明函（价格扣除适用，若有）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ind w:firstLine="480"/>
      </w:pPr>
      <w:r>
        <w:rPr/>
        <w:t>附：</w:t>
      </w:r>
    </w:p>
    <w:p>
      <w:pPr>
        <w:pStyle w:val="null3"/>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投标标的</w:t>
            </w:r>
          </w:p>
        </w:tc>
        <w:tc>
          <w:tcPr>
            <w:tcW w:type="dxa" w:w="1187"/>
          </w:tcPr>
          <w:p>
            <w:pPr>
              <w:pStyle w:val="null3"/>
            </w:pPr>
            <w:r>
              <w:rPr/>
              <w:t>数量</w:t>
            </w:r>
          </w:p>
        </w:tc>
        <w:tc>
          <w:tcPr>
            <w:tcW w:type="dxa" w:w="1187"/>
          </w:tcPr>
          <w:p>
            <w:pPr>
              <w:pStyle w:val="null3"/>
            </w:pPr>
            <w:r>
              <w:rPr/>
              <w:t>规格</w:t>
            </w:r>
          </w:p>
        </w:tc>
        <w:tc>
          <w:tcPr>
            <w:tcW w:type="dxa" w:w="1187"/>
          </w:tcPr>
          <w:p>
            <w:pPr>
              <w:pStyle w:val="null3"/>
            </w:pPr>
            <w:r>
              <w:rPr/>
              <w:t>来源地</w:t>
            </w:r>
          </w:p>
        </w:tc>
        <w:tc>
          <w:tcPr>
            <w:tcW w:type="dxa" w:w="1187"/>
          </w:tcPr>
          <w:p>
            <w:pPr>
              <w:pStyle w:val="null3"/>
            </w:pPr>
            <w:r>
              <w:rPr/>
              <w:t>备注</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