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重度残疾人护理补贴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生活困难的重度残疾人一级护理补贴标准为每人每月119元，非生活困难的重度残疾人一级护理补贴标准为每人每月115元，生活困难的重度残疾人二级护理补贴标准为每人每月99元，非生活困难的重度残疾人二级护理补贴标准为每人每月85元，省级预计须补助经费31800万元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进一步发挥重度残疾人护理补贴基本民生兜底保障功能，让广大残疾群众感受到党和政府对他们的关心关爱，使他们共同享受到我省社会经济发展的红利，增强了残疾群众的获得感幸福感。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99.5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14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12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1)生活困难的重度残疾人一级护理补贴享受人数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88318.00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92855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2)非生活困难的重度残疾人一级护理补贴享受人数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34316.00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32433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4.73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3)生活困难的重度残疾人二级护理补贴人数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182214.00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194416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4)非生活困难的重度残疾人二级护理补贴人数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63560.00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60689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4.77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1)资金使用合规性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1)资金发放时效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1)生活困难的重度残疾人一级护理补贴标准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119.00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119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2)非生活困难的重度残疾人一级护理补贴标准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115.00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115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3)生活困难的重度残疾人二级护理补贴标准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99.00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4)非生活困难的重度残疾人二级护理补贴标准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85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1)重度残疾人护理补贴覆盖面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2)重度残疾人对护理补贴政策的知晓率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98.7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1)重度残疾人护理补贴对象对工作人员的满意度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2)重度残疾人护理补贴对象对补贴政策的满意度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