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困难残疾人生活补贴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为城乡低保家庭中的残疾人、家庭年人均收入在当年城乡低保标准100%-130%的重度残疾人、60周岁及以上无固定收入的重度残疾人发放困难残疾人生活补贴，标准为每人每月99元，省级预计须补助经费26700万元。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进一步发挥困难残疾人生活补贴基本民生兜底保障功能，让广大残疾群众感受到党和政府对他们的关心关爱，使他们共同享受到我省社会经济发展的红利，增强了残疾群众的获得感幸福感。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100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8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8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1)困难残疾人生活补贴享受人数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331711.00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334569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1)资金使用合规性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1)资金发放时效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1)困难残疾人生活补贴标准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99.00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1)困难残疾人对生活补贴政策的知晓率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99.3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2)困难残疾人生活补贴覆盖面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1)困难残疾人生活补贴对象对补贴政策的满意度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2)困难残疾人生活补贴对象对工作人员的满意度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